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2"/>
        <w:framePr w:hSpace="0" w:vSpace="0" w:wrap="auto" w:vAnchor="margin" w:hAnchor="text" w:yAlign="inline"/>
        <w:ind w:right="-506" w:rightChars="-241"/>
        <w:outlineLvl w:val="0"/>
      </w:pPr>
      <w:bookmarkStart w:id="0" w:name="_Toc432690032"/>
      <w:bookmarkStart w:id="1" w:name="_Toc434508409"/>
      <w:bookmarkStart w:id="2" w:name="_Toc434853433"/>
      <w:bookmarkStart w:id="3" w:name="OLE_LINK4"/>
      <w:bookmarkStart w:id="4" w:name="OLE_LINK5"/>
      <w:r>
        <w:t>ICS</w:t>
      </w:r>
      <w:r>
        <w:rPr>
          <w:rFonts w:hint="eastAsia"/>
        </w:rPr>
        <w:t xml:space="preserve">  </w:t>
      </w:r>
      <w:bookmarkEnd w:id="0"/>
      <w:bookmarkEnd w:id="1"/>
      <w:bookmarkEnd w:id="2"/>
      <w:r>
        <w:rPr>
          <w:rFonts w:hint="eastAsia"/>
        </w:rPr>
        <w:t>XXX</w:t>
      </w:r>
    </w:p>
    <w:p>
      <w:pPr>
        <w:pStyle w:val="82"/>
        <w:framePr w:hSpace="0" w:vSpace="0" w:wrap="auto" w:vAnchor="margin" w:hAnchor="text" w:yAlign="inline"/>
        <w:tabs>
          <w:tab w:val="left" w:pos="9360"/>
        </w:tabs>
        <w:ind w:left="-420" w:leftChars="-200" w:firstLine="420" w:firstLineChars="200"/>
        <w:outlineLvl w:val="0"/>
      </w:pPr>
      <w:r>
        <w:rPr>
          <w:rFonts w:hint="eastAsia"/>
        </w:rPr>
        <w:t>CCS XXX</w:t>
      </w:r>
    </w:p>
    <w:p>
      <w:pPr>
        <w:rPr>
          <w:rFonts w:ascii="宋体" w:hAnsi="宋体"/>
          <w:sz w:val="32"/>
          <w:szCs w:val="20"/>
        </w:rPr>
      </w:pPr>
    </w:p>
    <w:p>
      <w:pPr>
        <w:ind w:firstLine="242" w:firstLineChars="23"/>
        <w:jc w:val="center"/>
        <w:rPr>
          <w:rFonts w:ascii="黑体" w:hAnsi="黑体" w:eastAsia="黑体"/>
          <w:b/>
          <w:bCs/>
          <w:snapToGrid w:val="0"/>
          <w:spacing w:val="164"/>
          <w:kern w:val="0"/>
          <w:sz w:val="72"/>
          <w:szCs w:val="72"/>
        </w:rPr>
      </w:pPr>
      <w:r>
        <w:rPr>
          <w:rFonts w:hint="eastAsia" w:ascii="黑体" w:hAnsi="黑体" w:eastAsia="黑体"/>
          <w:b/>
          <w:bCs/>
          <w:snapToGrid w:val="0"/>
          <w:spacing w:val="164"/>
          <w:kern w:val="0"/>
          <w:sz w:val="72"/>
          <w:szCs w:val="72"/>
        </w:rPr>
        <w:t>团 体 标 准</w:t>
      </w:r>
    </w:p>
    <w:p>
      <w:pPr>
        <w:wordWrap w:val="0"/>
        <w:ind w:firstLine="3080" w:firstLineChars="1100"/>
        <w:jc w:val="right"/>
        <w:rPr>
          <w:rFonts w:eastAsia="黑体"/>
          <w:sz w:val="28"/>
          <w:szCs w:val="28"/>
        </w:rPr>
      </w:pPr>
      <w:r>
        <w:rPr>
          <w:rFonts w:eastAsia="黑体"/>
          <w:sz w:val="28"/>
          <w:szCs w:val="28"/>
        </w:rPr>
        <w:t>T/CCOA</w:t>
      </w:r>
      <w:r>
        <w:rPr>
          <w:rFonts w:hint="eastAsia" w:eastAsia="黑体"/>
          <w:sz w:val="28"/>
          <w:szCs w:val="28"/>
        </w:rPr>
        <w:t xml:space="preserve"> </w:t>
      </w:r>
      <w:r>
        <w:rPr>
          <w:rFonts w:eastAsia="黑体"/>
          <w:sz w:val="28"/>
          <w:szCs w:val="28"/>
        </w:rPr>
        <w:t>×××—××××</w:t>
      </w:r>
    </w:p>
    <w:p>
      <w:pPr>
        <w:ind w:firstLine="46" w:firstLineChars="23"/>
        <w:jc w:val="right"/>
        <w:rPr>
          <w:rFonts w:eastAsia="黑体"/>
          <w:b/>
          <w:bCs/>
          <w:spacing w:val="164"/>
          <w:sz w:val="28"/>
          <w:szCs w:val="28"/>
        </w:rPr>
      </w:pPr>
      <w:r>
        <w:rPr>
          <w:rFonts w:ascii="宋体" w:hAnsi="宋体"/>
          <w:b/>
          <w:bCs/>
          <w:sz w:val="20"/>
          <w:szCs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337185</wp:posOffset>
                </wp:positionV>
                <wp:extent cx="6106795" cy="15875"/>
                <wp:effectExtent l="0" t="0" r="27940" b="22225"/>
                <wp:wrapNone/>
                <wp:docPr id="4" name="Line 3"/>
                <wp:cNvGraphicFramePr/>
                <a:graphic xmlns:a="http://schemas.openxmlformats.org/drawingml/2006/main">
                  <a:graphicData uri="http://schemas.microsoft.com/office/word/2010/wordprocessingShape">
                    <wps:wsp>
                      <wps:cNvCnPr>
                        <a:cxnSpLocks noChangeShapeType="1"/>
                      </wps:cNvCnPr>
                      <wps:spPr bwMode="auto">
                        <a:xfrm flipV="1">
                          <a:off x="0" y="0"/>
                          <a:ext cx="6106602" cy="15903"/>
                        </a:xfrm>
                        <a:prstGeom prst="line">
                          <a:avLst/>
                        </a:prstGeom>
                        <a:noFill/>
                        <a:ln w="9525">
                          <a:solidFill>
                            <a:srgbClr val="000000"/>
                          </a:solidFill>
                          <a:round/>
                        </a:ln>
                      </wps:spPr>
                      <wps:bodyPr/>
                    </wps:wsp>
                  </a:graphicData>
                </a:graphic>
              </wp:anchor>
            </w:drawing>
          </mc:Choice>
          <mc:Fallback>
            <w:pict>
              <v:line id="Line 3" o:spid="_x0000_s1026" o:spt="20" style="position:absolute;left:0pt;flip:y;margin-top:26.55pt;height:1.25pt;width:480.85pt;mso-position-horizontal:right;mso-position-horizontal-relative:margin;z-index:251659264;mso-width-relative:page;mso-height-relative:page;" filled="f" stroked="t" coordsize="21600,21600" o:gfxdata="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kRwQ9UAAAAGAQAADwAAAAAAAAABACAAAAAi&#10;AAAAZHJzL2Rvd25yZXYueG1sUEsBAhQAFAAAAAgAh07iQF6aSA/UAQAArQMAAA4AAAAAAAAAAQAg&#10;AAAAJAEAAGRycy9lMm9Eb2MueG1sUEsFBgAAAAAGAAYAWQEAAGoFAAAAAA==&#10;">
                <v:fill on="f" focussize="0,0"/>
                <v:stroke color="#000000" joinstyle="round"/>
                <v:imagedata o:title=""/>
                <o:lock v:ext="edit" aspectratio="f"/>
              </v:line>
            </w:pict>
          </mc:Fallback>
        </mc:AlternateContent>
      </w:r>
    </w:p>
    <w:p>
      <w:pPr>
        <w:spacing w:line="240" w:lineRule="exact"/>
        <w:ind w:firstLine="883"/>
        <w:rPr>
          <w:rFonts w:ascii="宋体" w:hAnsi="宋体"/>
          <w:b/>
          <w:bCs/>
          <w:sz w:val="44"/>
          <w:szCs w:val="20"/>
        </w:rPr>
      </w:pPr>
    </w:p>
    <w:p>
      <w:pPr>
        <w:ind w:firstLine="1040"/>
        <w:rPr>
          <w:rFonts w:ascii="宋体" w:hAnsi="宋体"/>
          <w:sz w:val="52"/>
          <w:szCs w:val="20"/>
        </w:rPr>
      </w:pPr>
    </w:p>
    <w:p>
      <w:pPr>
        <w:spacing w:line="800" w:lineRule="exact"/>
        <w:ind w:firstLine="1040"/>
        <w:rPr>
          <w:rFonts w:ascii="宋体" w:hAnsi="宋体"/>
          <w:sz w:val="52"/>
          <w:szCs w:val="20"/>
        </w:rPr>
      </w:pPr>
    </w:p>
    <w:p>
      <w:pPr>
        <w:spacing w:line="800" w:lineRule="exact"/>
        <w:ind w:firstLine="1044"/>
        <w:jc w:val="center"/>
        <w:rPr>
          <w:rFonts w:ascii="黑体" w:hAnsi="宋体" w:eastAsia="黑体"/>
          <w:b/>
          <w:bCs/>
          <w:sz w:val="52"/>
          <w:szCs w:val="20"/>
        </w:rPr>
      </w:pPr>
    </w:p>
    <w:p>
      <w:pPr>
        <w:spacing w:line="1000" w:lineRule="exact"/>
        <w:jc w:val="center"/>
        <w:rPr>
          <w:rFonts w:ascii="黑体" w:hAnsi="宋体" w:eastAsia="黑体"/>
          <w:b/>
          <w:bCs/>
          <w:sz w:val="52"/>
          <w:szCs w:val="20"/>
        </w:rPr>
      </w:pPr>
      <w:r>
        <w:rPr>
          <w:rFonts w:hint="eastAsia" w:ascii="黑体" w:hAnsi="宋体" w:eastAsia="黑体"/>
          <w:b/>
          <w:bCs/>
          <w:sz w:val="52"/>
          <w:szCs w:val="20"/>
        </w:rPr>
        <w:t>粮食及饲料中青霉酸等6种真菌毒素的同时测定 液相色谱-质谱/质谱法</w:t>
      </w:r>
    </w:p>
    <w:p>
      <w:pPr>
        <w:spacing w:line="1000" w:lineRule="exact"/>
        <w:jc w:val="center"/>
        <w:outlineLvl w:val="0"/>
        <w:rPr>
          <w:rFonts w:eastAsia="黑体"/>
          <w:b/>
          <w:bCs/>
          <w:sz w:val="28"/>
          <w:szCs w:val="20"/>
        </w:rPr>
      </w:pPr>
      <w:r>
        <w:rPr>
          <w:rFonts w:eastAsia="黑体"/>
          <w:b/>
          <w:bCs/>
          <w:sz w:val="28"/>
          <w:szCs w:val="20"/>
        </w:rPr>
        <w:t>Detection of penicillinic acid, ochratoxin A, citrinin, citreoviridin, mycophenolic acid and Roquefortine C in grain and animal feeding stuffs-UPLC-MS/MS</w:t>
      </w:r>
    </w:p>
    <w:p>
      <w:pPr>
        <w:spacing w:line="1000" w:lineRule="exact"/>
        <w:jc w:val="center"/>
        <w:rPr>
          <w:rFonts w:hint="eastAsia" w:eastAsia="宋体"/>
          <w:snapToGrid w:val="0"/>
          <w:kern w:val="0"/>
          <w:sz w:val="44"/>
          <w:szCs w:val="44"/>
          <w:lang w:eastAsia="zh-CN"/>
        </w:rPr>
      </w:pPr>
      <w:r>
        <w:rPr>
          <w:rFonts w:hint="eastAsia"/>
          <w:snapToGrid w:val="0"/>
          <w:kern w:val="0"/>
          <w:sz w:val="44"/>
          <w:szCs w:val="44"/>
          <w:lang w:eastAsia="zh-CN"/>
        </w:rPr>
        <w:t>（征求意见稿）</w:t>
      </w:r>
      <w:bookmarkStart w:id="88" w:name="_GoBack"/>
      <w:bookmarkEnd w:id="88"/>
    </w:p>
    <w:p>
      <w:pPr>
        <w:spacing w:line="400" w:lineRule="exact"/>
        <w:ind w:firstLine="1040"/>
        <w:rPr>
          <w:sz w:val="52"/>
        </w:rPr>
      </w:pPr>
    </w:p>
    <w:p>
      <w:pPr>
        <w:spacing w:line="400" w:lineRule="exact"/>
      </w:pPr>
    </w:p>
    <w:p>
      <w:pPr>
        <w:spacing w:line="400" w:lineRule="exact"/>
        <w:ind w:firstLine="420"/>
      </w:pPr>
    </w:p>
    <w:p>
      <w:pPr>
        <w:spacing w:line="280" w:lineRule="exact"/>
        <w:rPr>
          <w:rFonts w:ascii="黑体" w:eastAsia="黑体"/>
          <w:b/>
          <w:bCs/>
          <w:sz w:val="28"/>
          <w:szCs w:val="20"/>
        </w:rPr>
      </w:pPr>
      <w:r>
        <w:rPr>
          <w:rFonts w:hint="eastAsia" w:ascii="黑体" w:eastAsia="黑体"/>
          <w:b/>
          <w:bCs/>
          <w:sz w:val="28"/>
          <w:szCs w:val="20"/>
        </w:rPr>
        <w:t>20XX</w:t>
      </w:r>
      <w:r>
        <w:rPr>
          <w:rFonts w:hint="eastAsia" w:ascii="黑体" w:hAnsi="宋体" w:eastAsia="黑体"/>
          <w:b/>
          <w:bCs/>
          <w:sz w:val="28"/>
          <w:szCs w:val="20"/>
        </w:rPr>
        <w:t>-</w:t>
      </w:r>
      <w:r>
        <w:rPr>
          <w:rFonts w:hint="eastAsia" w:ascii="黑体" w:eastAsia="黑体"/>
          <w:b/>
          <w:bCs/>
          <w:sz w:val="28"/>
          <w:szCs w:val="20"/>
        </w:rPr>
        <w:t>XX</w:t>
      </w:r>
      <w:r>
        <w:rPr>
          <w:rFonts w:hint="eastAsia" w:ascii="黑体" w:hAnsi="宋体" w:eastAsia="黑体"/>
          <w:b/>
          <w:bCs/>
          <w:sz w:val="28"/>
          <w:szCs w:val="20"/>
        </w:rPr>
        <w:t>-</w:t>
      </w:r>
      <w:r>
        <w:rPr>
          <w:rFonts w:hint="eastAsia" w:ascii="黑体" w:eastAsia="黑体"/>
          <w:b/>
          <w:bCs/>
          <w:sz w:val="28"/>
          <w:szCs w:val="20"/>
        </w:rPr>
        <w:t>XX</w:t>
      </w:r>
      <w:r>
        <w:rPr>
          <w:rFonts w:hint="eastAsia" w:ascii="黑体" w:hAnsi="宋体" w:eastAsia="黑体"/>
          <w:b/>
          <w:bCs/>
          <w:sz w:val="18"/>
          <w:szCs w:val="20"/>
        </w:rPr>
        <w:t xml:space="preserve"> </w:t>
      </w:r>
      <w:r>
        <w:rPr>
          <w:rFonts w:hint="eastAsia" w:ascii="黑体" w:hAnsi="宋体" w:eastAsia="黑体"/>
          <w:b/>
          <w:bCs/>
          <w:sz w:val="28"/>
          <w:szCs w:val="20"/>
        </w:rPr>
        <w:t xml:space="preserve">发布                             </w:t>
      </w:r>
      <w:r>
        <w:rPr>
          <w:rFonts w:ascii="黑体" w:hAnsi="宋体" w:eastAsia="黑体"/>
          <w:b/>
          <w:bCs/>
          <w:sz w:val="28"/>
          <w:szCs w:val="20"/>
        </w:rPr>
        <w:t xml:space="preserve">       </w:t>
      </w:r>
      <w:r>
        <w:rPr>
          <w:rFonts w:hint="eastAsia" w:ascii="黑体" w:eastAsia="黑体"/>
          <w:b/>
          <w:bCs/>
          <w:sz w:val="28"/>
          <w:szCs w:val="20"/>
        </w:rPr>
        <w:t>20XX</w:t>
      </w:r>
      <w:r>
        <w:rPr>
          <w:rFonts w:hint="eastAsia" w:ascii="黑体" w:hAnsi="宋体" w:eastAsia="黑体"/>
          <w:b/>
          <w:bCs/>
          <w:sz w:val="28"/>
          <w:szCs w:val="20"/>
        </w:rPr>
        <w:t>-</w:t>
      </w:r>
      <w:r>
        <w:rPr>
          <w:rFonts w:hint="eastAsia" w:ascii="黑体" w:eastAsia="黑体"/>
          <w:b/>
          <w:bCs/>
          <w:sz w:val="28"/>
          <w:szCs w:val="20"/>
        </w:rPr>
        <w:t>XX</w:t>
      </w:r>
      <w:r>
        <w:rPr>
          <w:rFonts w:hint="eastAsia" w:ascii="黑体" w:hAnsi="宋体" w:eastAsia="黑体"/>
          <w:b/>
          <w:bCs/>
          <w:sz w:val="28"/>
          <w:szCs w:val="20"/>
        </w:rPr>
        <w:t>-</w:t>
      </w:r>
      <w:r>
        <w:rPr>
          <w:rFonts w:hint="eastAsia" w:ascii="黑体" w:eastAsia="黑体"/>
          <w:b/>
          <w:bCs/>
          <w:sz w:val="28"/>
          <w:szCs w:val="20"/>
        </w:rPr>
        <w:t>XX</w:t>
      </w:r>
      <w:r>
        <w:rPr>
          <w:rFonts w:hint="eastAsia" w:ascii="黑体" w:hAnsi="宋体" w:eastAsia="黑体"/>
          <w:b/>
          <w:bCs/>
          <w:sz w:val="28"/>
          <w:szCs w:val="20"/>
        </w:rPr>
        <w:t>实施</w:t>
      </w:r>
    </w:p>
    <w:p>
      <w:pPr>
        <w:spacing w:line="280" w:lineRule="exact"/>
        <w:ind w:firstLine="400"/>
        <w:rPr>
          <w:rFonts w:ascii="黑体" w:eastAsia="黑体"/>
          <w:sz w:val="28"/>
          <w:szCs w:val="20"/>
        </w:rPr>
      </w:pPr>
      <w:r>
        <w:rPr>
          <w:rFonts w:ascii="黑体" w:eastAsia="黑体"/>
          <w:sz w:val="20"/>
          <w:szCs w:val="20"/>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36195</wp:posOffset>
                </wp:positionV>
                <wp:extent cx="6002655" cy="24130"/>
                <wp:effectExtent l="0" t="0" r="36195" b="33655"/>
                <wp:wrapNone/>
                <wp:docPr id="3" name="Line 5"/>
                <wp:cNvGraphicFramePr/>
                <a:graphic xmlns:a="http://schemas.openxmlformats.org/drawingml/2006/main">
                  <a:graphicData uri="http://schemas.microsoft.com/office/word/2010/wordprocessingShape">
                    <wps:wsp>
                      <wps:cNvCnPr>
                        <a:cxnSpLocks noChangeShapeType="1"/>
                      </wps:cNvCnPr>
                      <wps:spPr bwMode="auto">
                        <a:xfrm flipV="1">
                          <a:off x="0" y="0"/>
                          <a:ext cx="6002793" cy="23854"/>
                        </a:xfrm>
                        <a:prstGeom prst="line">
                          <a:avLst/>
                        </a:prstGeom>
                        <a:noFill/>
                        <a:ln w="9525">
                          <a:solidFill>
                            <a:srgbClr val="000000"/>
                          </a:solidFill>
                          <a:round/>
                        </a:ln>
                      </wps:spPr>
                      <wps:bodyPr/>
                    </wps:wsp>
                  </a:graphicData>
                </a:graphic>
              </wp:anchor>
            </w:drawing>
          </mc:Choice>
          <mc:Fallback>
            <w:pict>
              <v:line id="Line 5" o:spid="_x0000_s1026" o:spt="20" style="position:absolute;left:0pt;flip:y;margin-top:2.85pt;height:1.9pt;width:472.65pt;mso-position-horizontal:right;mso-position-horizontal-relative:margin;z-index:251660288;mso-width-relative:page;mso-height-relative:page;" filled="f" stroked="t" coordsize="21600,21600" o:gfxdata="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hyxUvUAAAABAEAAA8AAAAAAAAAAQAgAAAAIgAA&#10;AGRycy9kb3ducmV2LnhtbFBLAQIUABQAAAAIAIdO4kAKXV+f0wEAAK0DAAAOAAAAAAAAAAEAIAAA&#10;ACMBAABkcnMvZTJvRG9jLnhtbFBLBQYAAAAABgAGAFkBAABoBQAAAAA=&#10;">
                <v:fill on="f" focussize="0,0"/>
                <v:stroke color="#000000" joinstyle="round"/>
                <v:imagedata o:title=""/>
                <o:lock v:ext="edit" aspectratio="f"/>
              </v:line>
            </w:pict>
          </mc:Fallback>
        </mc:AlternateContent>
      </w:r>
    </w:p>
    <w:p>
      <w:pPr>
        <w:ind w:firstLine="3002" w:firstLineChars="1071"/>
        <w:textAlignment w:val="center"/>
        <w:rPr>
          <w:rFonts w:eastAsia="黑体"/>
          <w:sz w:val="28"/>
          <w:szCs w:val="28"/>
        </w:rPr>
      </w:pPr>
      <w:r>
        <w:rPr>
          <w:rFonts w:hint="eastAsia" w:ascii="华文中宋" w:hAnsi="华文中宋" w:eastAsia="华文中宋"/>
          <w:b/>
          <w:bCs/>
          <w:sz w:val="28"/>
          <w:szCs w:val="20"/>
        </w:rPr>
        <w:t xml:space="preserve">中国粮油学会  </w:t>
      </w:r>
      <w:r>
        <w:rPr>
          <w:rFonts w:hint="eastAsia" w:eastAsia="黑体"/>
          <w:sz w:val="28"/>
          <w:szCs w:val="28"/>
        </w:rPr>
        <w:t>发布</w:t>
      </w:r>
      <w:bookmarkEnd w:id="3"/>
      <w:bookmarkEnd w:id="4"/>
    </w:p>
    <w:p/>
    <w:p>
      <w:pPr>
        <w:pStyle w:val="92"/>
        <w:tabs>
          <w:tab w:val="left" w:pos="1240"/>
          <w:tab w:val="center" w:pos="4677"/>
        </w:tabs>
        <w:jc w:val="left"/>
      </w:pPr>
      <w:bookmarkStart w:id="5" w:name="_Hlk88500224"/>
      <w:r>
        <w:tab/>
      </w:r>
      <w:r>
        <w:tab/>
      </w:r>
      <w:r>
        <w:rPr>
          <w:rFonts w:hint="eastAsia"/>
        </w:rPr>
        <w:t>前</w:t>
      </w:r>
      <w:bookmarkStart w:id="6" w:name="BKQY"/>
      <w:r>
        <w:rPr>
          <w:rFonts w:hint="eastAsia" w:ascii="MS Mincho" w:hAnsi="MS Mincho" w:eastAsia="MS Mincho" w:cs="MS Mincho"/>
        </w:rPr>
        <w:t>  </w:t>
      </w:r>
      <w:r>
        <w:rPr>
          <w:rFonts w:hint="eastAsia"/>
        </w:rPr>
        <w:t>言</w:t>
      </w:r>
      <w:bookmarkEnd w:id="6"/>
    </w:p>
    <w:p>
      <w:pPr>
        <w:pStyle w:val="141"/>
        <w:ind w:firstLine="420"/>
        <w:rPr>
          <w:rFonts w:ascii="宋体" w:hAnsi="宋体"/>
        </w:rPr>
      </w:pPr>
      <w:r>
        <w:rPr>
          <w:rFonts w:ascii="宋体" w:hAnsi="宋体"/>
        </w:rPr>
        <w:t>本标准按照</w:t>
      </w:r>
      <w:r>
        <w:t>GB/T1.1—20</w:t>
      </w:r>
      <w:r>
        <w:rPr>
          <w:rFonts w:hint="eastAsia"/>
        </w:rPr>
        <w:t>20</w:t>
      </w:r>
      <w:r>
        <w:rPr>
          <w:rFonts w:ascii="宋体" w:hAnsi="宋体"/>
        </w:rPr>
        <w:t>给出的规则起草。</w:t>
      </w:r>
    </w:p>
    <w:p>
      <w:pPr>
        <w:pStyle w:val="141"/>
        <w:ind w:firstLine="420"/>
      </w:pPr>
      <w:r>
        <w:rPr>
          <w:rFonts w:ascii="宋体" w:hAnsi="宋体"/>
        </w:rPr>
        <w:t>本标准由中国粮油学会提出</w:t>
      </w:r>
      <w:r>
        <w:rPr>
          <w:rFonts w:hint="eastAsia" w:ascii="宋体" w:hAnsi="宋体"/>
        </w:rPr>
        <w:t>。</w:t>
      </w:r>
    </w:p>
    <w:p>
      <w:pPr>
        <w:pStyle w:val="141"/>
        <w:ind w:firstLine="420"/>
        <w:rPr>
          <w:rFonts w:ascii="宋体" w:hAnsi="宋体"/>
        </w:rPr>
      </w:pPr>
      <w:r>
        <w:rPr>
          <w:rFonts w:ascii="宋体" w:hAnsi="宋体"/>
        </w:rPr>
        <w:t>本标准由全国粮油标准化技术委员会（SAT/TC</w:t>
      </w:r>
      <w:r>
        <w:rPr>
          <w:rFonts w:hint="eastAsia" w:ascii="宋体" w:hAnsi="宋体"/>
        </w:rPr>
        <w:t xml:space="preserve"> </w:t>
      </w:r>
      <w:r>
        <w:rPr>
          <w:rFonts w:ascii="宋体" w:hAnsi="宋体"/>
        </w:rPr>
        <w:t>270</w:t>
      </w:r>
      <w:r>
        <w:rPr>
          <w:rFonts w:hint="eastAsia" w:ascii="宋体" w:hAnsi="宋体"/>
        </w:rPr>
        <w:t>）归口。</w:t>
      </w:r>
    </w:p>
    <w:p>
      <w:pPr>
        <w:pStyle w:val="141"/>
        <w:ind w:firstLine="420"/>
        <w:rPr>
          <w:rFonts w:ascii="宋体" w:hAnsi="宋体"/>
        </w:rPr>
      </w:pPr>
      <w:r>
        <w:rPr>
          <w:rFonts w:hint="eastAsia" w:ascii="宋体" w:hAnsi="宋体"/>
        </w:rPr>
        <w:t>本标准主要起草单位：江南大学、苏州市食品检验检测中心、苏州市产品质量监督检验院。</w:t>
      </w:r>
    </w:p>
    <w:p>
      <w:pPr>
        <w:pStyle w:val="141"/>
        <w:ind w:firstLine="420"/>
        <w:rPr>
          <w:rFonts w:ascii="宋体" w:hAnsi="宋体"/>
        </w:rPr>
        <w:sectPr>
          <w:pgSz w:w="11906" w:h="16838"/>
          <w:pgMar w:top="567" w:right="1134" w:bottom="1134" w:left="1418" w:header="1418" w:footer="1134" w:gutter="0"/>
          <w:pgNumType w:start="0"/>
          <w:cols w:space="720" w:num="1"/>
          <w:formProt w:val="0"/>
          <w:titlePg/>
          <w:docGrid w:type="lines" w:linePitch="312" w:charSpace="0"/>
        </w:sectPr>
      </w:pPr>
      <w:r>
        <w:rPr>
          <w:rFonts w:hint="eastAsia" w:ascii="宋体" w:hAnsi="宋体"/>
        </w:rPr>
        <w:t>本标准</w:t>
      </w:r>
      <w:bookmarkStart w:id="7" w:name="_Hlk88670876"/>
      <w:r>
        <w:rPr>
          <w:rFonts w:hint="eastAsia" w:ascii="宋体" w:hAnsi="宋体"/>
        </w:rPr>
        <w:t>主要起草人：姚卫蓉、成玉梁、杨方威、于航、郭亚辉、谢云飞、董鑫鑫、叶湖、詹克航、丁洪流。</w:t>
      </w:r>
      <w:bookmarkEnd w:id="7"/>
    </w:p>
    <w:p>
      <w:pPr>
        <w:pStyle w:val="73"/>
        <w:rPr>
          <w:rFonts w:hAnsi="黑体"/>
        </w:rPr>
      </w:pPr>
      <w:r>
        <w:rPr>
          <w:rFonts w:hint="eastAsia" w:hAnsi="黑体" w:cs="仿宋_GB2312"/>
        </w:rPr>
        <w:t>粮食及饲料中青霉酸等6种真菌毒素的同时测定 液相色谱-质谱/质谱法</w:t>
      </w:r>
    </w:p>
    <w:p>
      <w:pPr>
        <w:pStyle w:val="68"/>
      </w:pPr>
      <w:bookmarkStart w:id="8" w:name="_Toc1649845"/>
      <w:r>
        <w:t>范围</w:t>
      </w:r>
      <w:bookmarkEnd w:id="8"/>
    </w:p>
    <w:p>
      <w:pPr>
        <w:pStyle w:val="143"/>
        <w:spacing w:line="360" w:lineRule="auto"/>
        <w:rPr>
          <w:rFonts w:ascii="Times New Roman" w:hAnsi="Times New Roman"/>
          <w:szCs w:val="21"/>
        </w:rPr>
      </w:pPr>
      <w:r>
        <w:rPr>
          <w:rFonts w:ascii="Times New Roman" w:hAnsi="Times New Roman"/>
          <w:szCs w:val="21"/>
        </w:rPr>
        <w:t>本标准规定了粮食和饲料中青霉酸、赭曲霉毒素A、桔青霉素、黄绿青霉素、霉酚酸</w:t>
      </w:r>
      <w:r>
        <w:rPr>
          <w:rFonts w:hint="eastAsia" w:ascii="Times New Roman" w:hAnsi="Times New Roman"/>
          <w:szCs w:val="21"/>
        </w:rPr>
        <w:t>、异烟棒曲霉素C</w:t>
      </w:r>
      <w:r>
        <w:rPr>
          <w:rFonts w:ascii="Times New Roman" w:hAnsi="Times New Roman"/>
          <w:szCs w:val="21"/>
        </w:rPr>
        <w:t>的残留检测原理、试剂及材料、仪器及设备、样品制备、样品测定、结果分析。</w:t>
      </w:r>
    </w:p>
    <w:p>
      <w:pPr>
        <w:pStyle w:val="143"/>
        <w:spacing w:line="360" w:lineRule="auto"/>
        <w:rPr>
          <w:rFonts w:ascii="Times New Roman" w:hAnsi="Times New Roman"/>
          <w:szCs w:val="21"/>
        </w:rPr>
      </w:pPr>
      <w:r>
        <w:rPr>
          <w:rFonts w:ascii="Times New Roman" w:hAnsi="Times New Roman"/>
          <w:szCs w:val="21"/>
        </w:rPr>
        <w:t>本标准适用范围主要为粮食和饲料中</w:t>
      </w:r>
      <w:r>
        <w:rPr>
          <w:rFonts w:hint="eastAsia" w:ascii="Times New Roman" w:hAnsi="Times New Roman"/>
          <w:szCs w:val="21"/>
        </w:rPr>
        <w:t>青霉酸、赭曲霉毒素A、桔青霉素、黄绿青霉素、霉酚酸、异烟棒曲霉素C</w:t>
      </w:r>
      <w:r>
        <w:rPr>
          <w:rFonts w:ascii="Times New Roman" w:hAnsi="Times New Roman"/>
          <w:szCs w:val="21"/>
        </w:rPr>
        <w:t>残留的检测。</w:t>
      </w:r>
    </w:p>
    <w:p>
      <w:pPr>
        <w:pStyle w:val="68"/>
        <w:rPr>
          <w:rFonts w:hAnsi="黑体"/>
          <w:szCs w:val="21"/>
        </w:rPr>
      </w:pPr>
      <w:bookmarkStart w:id="9" w:name="_Toc1649846"/>
      <w:r>
        <w:rPr>
          <w:rFonts w:hAnsi="黑体"/>
          <w:szCs w:val="21"/>
        </w:rPr>
        <w:t>规范性引用文件</w:t>
      </w:r>
      <w:bookmarkEnd w:id="9"/>
    </w:p>
    <w:p>
      <w:pPr>
        <w:pStyle w:val="143"/>
        <w:spacing w:line="360" w:lineRule="auto"/>
        <w:rPr>
          <w:rFonts w:ascii="Times New Roman" w:hAnsi="Times New Roman"/>
          <w:szCs w:val="21"/>
        </w:rPr>
      </w:pPr>
      <w:r>
        <w:rPr>
          <w:rFonts w:ascii="Times New Roman" w:hAnsi="Times New Roman"/>
          <w:szCs w:val="21"/>
        </w:rPr>
        <w:t>下列文件对于本文件的应用是必不可少的。凡是注日期的引用文件，仅注日期的版本适用于本文件。凡是不注日期的引用文件，其最新版本（包括所有的修改单）适用于本文件。</w:t>
      </w:r>
    </w:p>
    <w:p>
      <w:pPr>
        <w:pStyle w:val="143"/>
        <w:spacing w:line="360" w:lineRule="auto"/>
        <w:rPr>
          <w:rFonts w:ascii="Times New Roman" w:hAnsi="Times New Roman"/>
          <w:szCs w:val="21"/>
        </w:rPr>
      </w:pPr>
      <w:r>
        <w:rPr>
          <w:rFonts w:ascii="Times New Roman" w:hAnsi="Times New Roman"/>
          <w:szCs w:val="21"/>
        </w:rPr>
        <w:t>GB 5491  粮食、油料检验 扦样、分样法</w:t>
      </w:r>
      <w:r>
        <w:rPr>
          <w:rFonts w:hint="eastAsia" w:ascii="Times New Roman" w:hAnsi="Times New Roman"/>
          <w:szCs w:val="21"/>
        </w:rPr>
        <w:t>；</w:t>
      </w:r>
    </w:p>
    <w:p>
      <w:pPr>
        <w:pStyle w:val="143"/>
        <w:spacing w:line="360" w:lineRule="auto"/>
        <w:rPr>
          <w:rFonts w:ascii="Times New Roman" w:hAnsi="Times New Roman"/>
          <w:szCs w:val="21"/>
        </w:rPr>
      </w:pPr>
      <w:r>
        <w:rPr>
          <w:rFonts w:ascii="Times New Roman" w:hAnsi="Times New Roman"/>
          <w:szCs w:val="21"/>
        </w:rPr>
        <w:t>GB/T 6682  分析实验室用水规格和试验方法</w:t>
      </w:r>
      <w:r>
        <w:rPr>
          <w:rFonts w:hint="eastAsia" w:ascii="Times New Roman" w:hAnsi="Times New Roman"/>
          <w:szCs w:val="21"/>
        </w:rPr>
        <w:t>；</w:t>
      </w:r>
    </w:p>
    <w:p>
      <w:pPr>
        <w:pStyle w:val="143"/>
        <w:spacing w:line="360" w:lineRule="auto"/>
        <w:rPr>
          <w:rFonts w:ascii="Times New Roman" w:hAnsi="Times New Roman"/>
          <w:szCs w:val="21"/>
        </w:rPr>
      </w:pPr>
      <w:r>
        <w:rPr>
          <w:rFonts w:ascii="Times New Roman" w:hAnsi="Times New Roman"/>
          <w:szCs w:val="21"/>
        </w:rPr>
        <w:t>GB/T 27404</w:t>
      </w:r>
      <w:r>
        <w:rPr>
          <w:rFonts w:ascii="Times New Roman" w:hAnsi="Times New Roman"/>
          <w:color w:val="FF0000"/>
          <w:szCs w:val="21"/>
        </w:rPr>
        <w:t xml:space="preserve"> </w:t>
      </w:r>
      <w:r>
        <w:rPr>
          <w:rFonts w:ascii="Times New Roman" w:hAnsi="Times New Roman"/>
          <w:szCs w:val="21"/>
        </w:rPr>
        <w:t xml:space="preserve"> </w:t>
      </w:r>
      <w:r>
        <w:rPr>
          <w:rFonts w:hint="eastAsia" w:ascii="Times New Roman" w:hAnsi="Times New Roman"/>
          <w:szCs w:val="21"/>
        </w:rPr>
        <w:t>实验室</w:t>
      </w:r>
      <w:r>
        <w:rPr>
          <w:rFonts w:ascii="Times New Roman" w:hAnsi="Times New Roman"/>
          <w:szCs w:val="21"/>
        </w:rPr>
        <w:t>质量控制规范</w:t>
      </w:r>
      <w:r>
        <w:rPr>
          <w:rFonts w:hint="eastAsia" w:ascii="Times New Roman" w:hAnsi="Times New Roman"/>
          <w:szCs w:val="21"/>
        </w:rPr>
        <w:t xml:space="preserve"> 食品</w:t>
      </w:r>
      <w:r>
        <w:rPr>
          <w:rFonts w:ascii="Times New Roman" w:hAnsi="Times New Roman"/>
          <w:szCs w:val="21"/>
        </w:rPr>
        <w:t>理化检测</w:t>
      </w:r>
      <w:r>
        <w:rPr>
          <w:rFonts w:hint="eastAsia" w:ascii="Times New Roman" w:hAnsi="Times New Roman"/>
          <w:szCs w:val="21"/>
        </w:rPr>
        <w:t>。</w:t>
      </w:r>
    </w:p>
    <w:p>
      <w:pPr>
        <w:pStyle w:val="68"/>
        <w:rPr>
          <w:rFonts w:hAnsi="黑体"/>
          <w:szCs w:val="21"/>
        </w:rPr>
      </w:pPr>
      <w:bookmarkStart w:id="10" w:name="_Toc1649847"/>
      <w:r>
        <w:rPr>
          <w:rFonts w:hAnsi="黑体"/>
          <w:szCs w:val="21"/>
        </w:rPr>
        <w:t>原理</w:t>
      </w:r>
      <w:bookmarkEnd w:id="10"/>
    </w:p>
    <w:p>
      <w:pPr>
        <w:pStyle w:val="143"/>
        <w:spacing w:line="360" w:lineRule="auto"/>
        <w:rPr>
          <w:rFonts w:ascii="Times New Roman" w:hAnsi="Times New Roman"/>
          <w:szCs w:val="21"/>
        </w:rPr>
      </w:pPr>
      <w:r>
        <w:rPr>
          <w:rFonts w:ascii="Times New Roman" w:hAnsi="Times New Roman"/>
          <w:szCs w:val="21"/>
        </w:rPr>
        <w:t>采用乙腈-水-乙酸溶液提取试样中的真菌毒素，经涡旋或震荡、离心、取上清液经</w:t>
      </w:r>
      <w:r>
        <w:rPr>
          <w:rFonts w:hint="eastAsia" w:ascii="Times New Roman" w:hAnsi="Times New Roman"/>
          <w:szCs w:val="21"/>
        </w:rPr>
        <w:t>Qu</w:t>
      </w:r>
      <w:r>
        <w:rPr>
          <w:rFonts w:ascii="Times New Roman" w:hAnsi="Times New Roman"/>
          <w:szCs w:val="21"/>
        </w:rPr>
        <w:t>EchERS</w:t>
      </w:r>
      <w:r>
        <w:rPr>
          <w:rFonts w:hint="eastAsia" w:ascii="Times New Roman" w:hAnsi="Times New Roman"/>
          <w:szCs w:val="21"/>
        </w:rPr>
        <w:t>盐包、过柱</w:t>
      </w:r>
      <w:r>
        <w:rPr>
          <w:rFonts w:ascii="Times New Roman" w:hAnsi="Times New Roman"/>
          <w:szCs w:val="21"/>
        </w:rPr>
        <w:t>、离心</w:t>
      </w:r>
      <w:r>
        <w:rPr>
          <w:rFonts w:hint="eastAsia" w:ascii="Times New Roman" w:hAnsi="Times New Roman"/>
          <w:szCs w:val="21"/>
        </w:rPr>
        <w:t>、稀释处理</w:t>
      </w:r>
      <w:r>
        <w:rPr>
          <w:rFonts w:ascii="Times New Roman" w:hAnsi="Times New Roman"/>
          <w:szCs w:val="21"/>
        </w:rPr>
        <w:t>后，通过超高效液相色谱-串联质谱法测定，利用外标法定量。</w:t>
      </w:r>
    </w:p>
    <w:p>
      <w:pPr>
        <w:pStyle w:val="68"/>
        <w:spacing w:line="360" w:lineRule="auto"/>
        <w:rPr>
          <w:rFonts w:hAnsi="黑体"/>
          <w:szCs w:val="21"/>
        </w:rPr>
      </w:pPr>
      <w:bookmarkStart w:id="11" w:name="_Toc1649848"/>
      <w:r>
        <w:rPr>
          <w:rFonts w:hAnsi="黑体"/>
          <w:szCs w:val="21"/>
        </w:rPr>
        <w:t>试剂及材料</w:t>
      </w:r>
      <w:bookmarkEnd w:id="11"/>
    </w:p>
    <w:p>
      <w:pPr>
        <w:pStyle w:val="143"/>
        <w:spacing w:line="360" w:lineRule="auto"/>
        <w:rPr>
          <w:rFonts w:ascii="Times New Roman" w:hAnsi="Times New Roman"/>
          <w:szCs w:val="21"/>
        </w:rPr>
      </w:pPr>
      <w:r>
        <w:rPr>
          <w:rFonts w:ascii="Times New Roman" w:hAnsi="Times New Roman"/>
          <w:szCs w:val="21"/>
        </w:rPr>
        <w:t>除另有说明外，所用试剂均为分析纯，实验室用水应符合GB/T 6682一级水要求。</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乙腈</w:t>
      </w:r>
    </w:p>
    <w:p>
      <w:pPr>
        <w:pStyle w:val="143"/>
        <w:spacing w:line="360" w:lineRule="auto"/>
        <w:ind w:firstLine="1050" w:firstLineChars="500"/>
        <w:rPr>
          <w:rFonts w:ascii="Times New Roman" w:hAnsi="Times New Roman"/>
          <w:szCs w:val="21"/>
        </w:rPr>
      </w:pPr>
      <w:r>
        <w:rPr>
          <w:rFonts w:ascii="Times New Roman" w:hAnsi="Times New Roman"/>
          <w:szCs w:val="21"/>
        </w:rPr>
        <w:t>色谱纯</w:t>
      </w:r>
      <w:r>
        <w:rPr>
          <w:rFonts w:hint="eastAsia" w:ascii="Times New Roman" w:hAnsi="Times New Roman"/>
          <w:szCs w:val="21"/>
        </w:rPr>
        <w:t>。</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甲醇</w:t>
      </w:r>
    </w:p>
    <w:p>
      <w:pPr>
        <w:widowControl/>
        <w:autoSpaceDE w:val="0"/>
        <w:autoSpaceDN w:val="0"/>
        <w:spacing w:line="360" w:lineRule="auto"/>
        <w:ind w:firstLine="840" w:firstLineChars="400"/>
        <w:rPr>
          <w:kern w:val="44"/>
          <w:szCs w:val="21"/>
        </w:rPr>
      </w:pPr>
      <w:r>
        <w:rPr>
          <w:rFonts w:hint="eastAsia"/>
          <w:kern w:val="44"/>
          <w:szCs w:val="21"/>
        </w:rPr>
        <w:t>质</w:t>
      </w:r>
      <w:r>
        <w:rPr>
          <w:kern w:val="44"/>
          <w:szCs w:val="21"/>
        </w:rPr>
        <w:t>谱纯</w:t>
      </w:r>
      <w:r>
        <w:rPr>
          <w:rFonts w:hint="eastAsia"/>
          <w:kern w:val="44"/>
          <w:szCs w:val="21"/>
        </w:rPr>
        <w:t>。</w:t>
      </w:r>
    </w:p>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冰醋酸</w:t>
      </w:r>
    </w:p>
    <w:p>
      <w:pPr>
        <w:ind w:firstLine="840" w:firstLineChars="400"/>
        <w:rPr>
          <w:szCs w:val="21"/>
        </w:rPr>
      </w:pPr>
      <w:r>
        <w:rPr>
          <w:szCs w:val="21"/>
        </w:rPr>
        <w:t>色谱纯</w:t>
      </w:r>
      <w:r>
        <w:rPr>
          <w:rFonts w:hint="eastAsia"/>
          <w:szCs w:val="21"/>
        </w:rPr>
        <w:t>。</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甲酸</w:t>
      </w:r>
    </w:p>
    <w:p>
      <w:pPr>
        <w:ind w:firstLine="840" w:firstLineChars="400"/>
        <w:rPr>
          <w:szCs w:val="21"/>
        </w:rPr>
      </w:pPr>
      <w:r>
        <w:rPr>
          <w:szCs w:val="21"/>
        </w:rPr>
        <w:t>色谱纯</w:t>
      </w:r>
      <w:r>
        <w:rPr>
          <w:rFonts w:hint="eastAsia"/>
          <w:szCs w:val="21"/>
        </w:rPr>
        <w:t>。</w:t>
      </w:r>
    </w:p>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提取液</w:t>
      </w:r>
    </w:p>
    <w:p>
      <w:pPr>
        <w:ind w:firstLine="840" w:firstLineChars="400"/>
        <w:rPr>
          <w:szCs w:val="21"/>
        </w:rPr>
      </w:pPr>
      <w:r>
        <w:rPr>
          <w:rFonts w:hint="eastAsia"/>
          <w:szCs w:val="21"/>
        </w:rPr>
        <w:t>乙腈-水-乙酸混合液（7</w:t>
      </w:r>
      <w:r>
        <w:rPr>
          <w:szCs w:val="21"/>
        </w:rPr>
        <w:t>0</w:t>
      </w:r>
      <w:r>
        <w:rPr>
          <w:rFonts w:hint="eastAsia"/>
          <w:szCs w:val="21"/>
        </w:rPr>
        <w:t>:</w:t>
      </w:r>
      <w:r>
        <w:rPr>
          <w:szCs w:val="21"/>
        </w:rPr>
        <w:t>28</w:t>
      </w:r>
      <w:r>
        <w:rPr>
          <w:rFonts w:hint="eastAsia"/>
          <w:szCs w:val="21"/>
        </w:rPr>
        <w:t>:</w:t>
      </w:r>
      <w:r>
        <w:rPr>
          <w:szCs w:val="21"/>
        </w:rPr>
        <w:t>2</w:t>
      </w:r>
      <w:r>
        <w:rPr>
          <w:rFonts w:hint="eastAsia"/>
          <w:szCs w:val="21"/>
        </w:rPr>
        <w:t>，体积比）。</w:t>
      </w:r>
    </w:p>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稀释溶剂</w:t>
      </w:r>
    </w:p>
    <w:p>
      <w:pPr>
        <w:ind w:firstLine="840" w:firstLineChars="400"/>
        <w:rPr>
          <w:szCs w:val="21"/>
        </w:rPr>
      </w:pPr>
      <w:r>
        <w:rPr>
          <w:rFonts w:hint="eastAsia"/>
          <w:szCs w:val="21"/>
        </w:rPr>
        <w:t>甲醇：水（1:</w:t>
      </w:r>
      <w:r>
        <w:rPr>
          <w:szCs w:val="21"/>
        </w:rPr>
        <w:t>9</w:t>
      </w:r>
      <w:r>
        <w:rPr>
          <w:rFonts w:hint="eastAsia"/>
          <w:szCs w:val="21"/>
        </w:rPr>
        <w:t>，体积比）。</w:t>
      </w:r>
    </w:p>
    <w:p>
      <w:pPr>
        <w:pStyle w:val="143"/>
        <w:numPr>
          <w:ilvl w:val="1"/>
          <w:numId w:val="3"/>
        </w:numPr>
        <w:spacing w:line="360" w:lineRule="auto"/>
        <w:ind w:firstLineChars="0"/>
        <w:outlineLvl w:val="2"/>
        <w:rPr>
          <w:rFonts w:ascii="Times New Roman" w:hAnsi="Times New Roman" w:eastAsia="黑体"/>
          <w:szCs w:val="21"/>
        </w:rPr>
      </w:pPr>
      <w:r>
        <w:rPr>
          <w:rFonts w:hint="eastAsia" w:ascii="Times New Roman" w:hAnsi="Times New Roman" w:eastAsia="黑体"/>
          <w:szCs w:val="21"/>
        </w:rPr>
        <w:t>塑料离心管</w:t>
      </w:r>
    </w:p>
    <w:p>
      <w:pPr>
        <w:ind w:firstLine="840" w:firstLineChars="400"/>
      </w:pPr>
      <w:r>
        <w:rPr>
          <w:rFonts w:hint="eastAsia"/>
        </w:rPr>
        <w:t>5</w:t>
      </w:r>
      <w:r>
        <w:t>0 mL</w:t>
      </w:r>
      <w:r>
        <w:rPr>
          <w:rFonts w:hint="eastAsia"/>
        </w:rPr>
        <w:t>和</w:t>
      </w:r>
      <w:r>
        <w:t>2 mL</w:t>
      </w:r>
      <w:r>
        <w:rPr>
          <w:rFonts w:hint="eastAsia"/>
        </w:rPr>
        <w:t>。</w:t>
      </w:r>
    </w:p>
    <w:p>
      <w:pPr>
        <w:pStyle w:val="143"/>
        <w:numPr>
          <w:ilvl w:val="1"/>
          <w:numId w:val="3"/>
        </w:numPr>
        <w:spacing w:line="360" w:lineRule="auto"/>
        <w:ind w:firstLineChars="0"/>
        <w:outlineLvl w:val="2"/>
        <w:rPr>
          <w:rFonts w:ascii="Times New Roman" w:hAnsi="Times New Roman" w:eastAsia="黑体"/>
          <w:szCs w:val="21"/>
        </w:rPr>
      </w:pPr>
      <w:bookmarkStart w:id="12" w:name="_Hlk85201005"/>
      <w:r>
        <w:rPr>
          <w:rFonts w:ascii="Times New Roman" w:hAnsi="Times New Roman" w:eastAsia="黑体"/>
          <w:szCs w:val="21"/>
        </w:rPr>
        <w:t>Waters Qasis PRIME HLB小柱</w:t>
      </w:r>
    </w:p>
    <w:p>
      <w:r>
        <w:rPr>
          <w:rFonts w:hint="eastAsia"/>
        </w:rPr>
        <w:t xml:space="preserve"> </w:t>
      </w:r>
      <w:r>
        <w:t xml:space="preserve">        6 cc</w:t>
      </w:r>
      <w:r>
        <w:rPr>
          <w:rFonts w:hint="eastAsia"/>
        </w:rPr>
        <w:t>，</w:t>
      </w:r>
      <w:r>
        <w:t>200 mg</w:t>
      </w:r>
      <w:r>
        <w:rPr>
          <w:rFonts w:hint="eastAsia"/>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色谱进样瓶</w:t>
      </w:r>
    </w:p>
    <w:p>
      <w:pPr>
        <w:ind w:firstLine="1050" w:firstLineChars="500"/>
      </w:pPr>
      <w:r>
        <w:t>2 mL</w:t>
      </w:r>
      <w:r>
        <w:rPr>
          <w:rFonts w:hint="eastAsia"/>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容量瓶</w:t>
      </w:r>
    </w:p>
    <w:p>
      <w:pPr>
        <w:ind w:firstLine="1050" w:firstLineChars="500"/>
      </w:pPr>
      <w:r>
        <w:t>10 mL</w:t>
      </w:r>
      <w:r>
        <w:rPr>
          <w:rFonts w:hint="eastAsia"/>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QuE</w:t>
      </w:r>
      <w:r>
        <w:rPr>
          <w:rFonts w:hint="eastAsia" w:ascii="Times New Roman" w:hAnsi="Times New Roman" w:eastAsia="黑体"/>
          <w:szCs w:val="21"/>
        </w:rPr>
        <w:t>ch</w:t>
      </w:r>
      <w:r>
        <w:rPr>
          <w:rFonts w:ascii="Times New Roman" w:hAnsi="Times New Roman" w:eastAsia="黑体"/>
          <w:szCs w:val="21"/>
        </w:rPr>
        <w:t>ERS</w:t>
      </w:r>
      <w:r>
        <w:rPr>
          <w:rFonts w:hint="eastAsia" w:ascii="Times New Roman" w:hAnsi="Times New Roman" w:eastAsia="黑体"/>
          <w:szCs w:val="21"/>
        </w:rPr>
        <w:t>盐包</w:t>
      </w:r>
    </w:p>
    <w:p>
      <w:r>
        <w:rPr>
          <w:rFonts w:hint="eastAsia"/>
        </w:rPr>
        <w:t xml:space="preserve"> </w:t>
      </w:r>
      <w:r>
        <w:t xml:space="preserve">   </w:t>
      </w:r>
      <w:r>
        <w:rPr>
          <w:rFonts w:hint="eastAsia"/>
        </w:rPr>
        <w:t>无水硫酸镁（Mg</w:t>
      </w:r>
      <w:r>
        <w:t>SO</w:t>
      </w:r>
      <w:r>
        <w:rPr>
          <w:vertAlign w:val="subscript"/>
        </w:rPr>
        <w:t>4</w:t>
      </w:r>
      <w:r>
        <w:rPr>
          <w:rFonts w:hint="eastAsia"/>
        </w:rPr>
        <w:t>，4</w:t>
      </w:r>
      <w:r>
        <w:t xml:space="preserve"> </w:t>
      </w:r>
      <w:r>
        <w:rPr>
          <w:rFonts w:hint="eastAsia"/>
        </w:rPr>
        <w:t>g）+氯化钠（</w:t>
      </w:r>
      <w:r>
        <w:t>N</w:t>
      </w:r>
      <w:r>
        <w:rPr>
          <w:rFonts w:hint="eastAsia"/>
        </w:rPr>
        <w:t>a</w:t>
      </w:r>
      <w:r>
        <w:t>Cl</w:t>
      </w:r>
      <w:r>
        <w:rPr>
          <w:rFonts w:hint="eastAsia"/>
        </w:rPr>
        <w:t>，1</w:t>
      </w:r>
      <w:r>
        <w:t xml:space="preserve"> g</w:t>
      </w:r>
      <w:r>
        <w:rPr>
          <w:rFonts w:hint="eastAsia"/>
        </w:rPr>
        <w:t>）。</w:t>
      </w:r>
    </w:p>
    <w:bookmarkEnd w:id="12"/>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标准品</w:t>
      </w:r>
    </w:p>
    <w:p>
      <w:pPr>
        <w:spacing w:line="360" w:lineRule="auto"/>
        <w:ind w:firstLine="420" w:firstLineChars="200"/>
        <w:rPr>
          <w:szCs w:val="21"/>
        </w:rPr>
      </w:pPr>
      <w:r>
        <w:rPr>
          <w:szCs w:val="21"/>
        </w:rPr>
        <w:t>真菌毒素标准品：</w:t>
      </w:r>
      <w:r>
        <w:rPr>
          <w:rFonts w:hint="eastAsia"/>
          <w:szCs w:val="21"/>
        </w:rPr>
        <w:t>青霉酸、桔青霉素、霉酚酸、异烟棒曲霉素C、赭曲霉毒素A、黄绿青霉素6种</w:t>
      </w:r>
      <w:r>
        <w:rPr>
          <w:szCs w:val="21"/>
        </w:rPr>
        <w:t>真菌毒素</w:t>
      </w:r>
      <w:r>
        <w:rPr>
          <w:rFonts w:hint="eastAsia"/>
          <w:szCs w:val="21"/>
        </w:rPr>
        <w:t>液体单标</w:t>
      </w:r>
      <w:r>
        <w:rPr>
          <w:szCs w:val="21"/>
        </w:rPr>
        <w:t>（纯度</w:t>
      </w:r>
      <w:r>
        <w:rPr>
          <w:rFonts w:hint="eastAsia"/>
          <w:szCs w:val="21"/>
        </w:rPr>
        <w:t>≥</w:t>
      </w:r>
      <w:r>
        <w:rPr>
          <w:szCs w:val="21"/>
        </w:rPr>
        <w:t>98%）</w:t>
      </w:r>
      <w:r>
        <w:rPr>
          <w:rFonts w:hint="eastAsia"/>
          <w:szCs w:val="21"/>
        </w:rPr>
        <w:t>，真菌毒素的基本情况见附录A。</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标准溶液配制</w:t>
      </w:r>
    </w:p>
    <w:p>
      <w:pPr>
        <w:pStyle w:val="143"/>
        <w:numPr>
          <w:ilvl w:val="2"/>
          <w:numId w:val="3"/>
        </w:numPr>
        <w:spacing w:line="360" w:lineRule="auto"/>
        <w:ind w:firstLineChars="0"/>
        <w:jc w:val="left"/>
        <w:outlineLvl w:val="2"/>
        <w:rPr>
          <w:rFonts w:ascii="黑体" w:hAnsi="黑体" w:eastAsia="黑体"/>
          <w:kern w:val="44"/>
          <w:szCs w:val="21"/>
        </w:rPr>
      </w:pPr>
      <w:bookmarkStart w:id="13" w:name="_Hlk85201173"/>
      <w:r>
        <w:rPr>
          <w:rFonts w:ascii="黑体" w:hAnsi="黑体" w:eastAsia="黑体"/>
          <w:kern w:val="44"/>
          <w:szCs w:val="21"/>
        </w:rPr>
        <w:t>单标标准储备液</w:t>
      </w:r>
    </w:p>
    <w:p>
      <w:pPr>
        <w:spacing w:line="360" w:lineRule="auto"/>
        <w:ind w:firstLine="420" w:firstLineChars="200"/>
        <w:rPr>
          <w:szCs w:val="21"/>
        </w:rPr>
      </w:pPr>
      <w:r>
        <w:rPr>
          <w:szCs w:val="21"/>
        </w:rPr>
        <w:t>青霉酸（乙腈溶，100 μg/mL），桔青霉素（乙腈溶，100 μg/mL），霉酚酸（乙腈溶，100 μg/mL），异烟棒曲霉素C（乙腈溶，10 μg/mL），赭曲霉毒素A（乙腈溶，10 μg/mL）</w:t>
      </w:r>
      <w:r>
        <w:rPr>
          <w:rFonts w:hint="eastAsia"/>
          <w:szCs w:val="21"/>
        </w:rPr>
        <w:t>，</w:t>
      </w:r>
      <w:r>
        <w:rPr>
          <w:szCs w:val="21"/>
        </w:rPr>
        <w:t>黄绿青霉素（乙腈溶，100 μg/mL）</w:t>
      </w:r>
      <w:r>
        <w:rPr>
          <w:rFonts w:hint="eastAsia"/>
          <w:szCs w:val="21"/>
        </w:rPr>
        <w:t>，</w:t>
      </w:r>
      <w:r>
        <w:rPr>
          <w:szCs w:val="21"/>
        </w:rPr>
        <w:t>-20℃密封避光保存，有效期6个月。</w:t>
      </w:r>
    </w:p>
    <w:p>
      <w:pPr>
        <w:pStyle w:val="143"/>
        <w:numPr>
          <w:ilvl w:val="2"/>
          <w:numId w:val="3"/>
        </w:numPr>
        <w:spacing w:line="360" w:lineRule="auto"/>
        <w:ind w:firstLineChars="0"/>
        <w:outlineLvl w:val="2"/>
        <w:rPr>
          <w:rFonts w:ascii="黑体" w:hAnsi="黑体" w:eastAsia="黑体"/>
          <w:kern w:val="44"/>
          <w:szCs w:val="21"/>
        </w:rPr>
      </w:pPr>
      <w:r>
        <w:rPr>
          <w:rFonts w:hint="eastAsia" w:ascii="黑体" w:hAnsi="黑体" w:eastAsia="黑体"/>
          <w:kern w:val="44"/>
          <w:szCs w:val="21"/>
        </w:rPr>
        <w:t>混合标准工作液</w:t>
      </w:r>
      <w:r>
        <w:rPr>
          <w:rFonts w:ascii="黑体" w:hAnsi="黑体" w:eastAsia="黑体"/>
          <w:kern w:val="44"/>
          <w:szCs w:val="21"/>
        </w:rPr>
        <w:t>1</w:t>
      </w:r>
    </w:p>
    <w:p>
      <w:pPr>
        <w:spacing w:line="360" w:lineRule="auto"/>
        <w:ind w:firstLine="420" w:firstLineChars="200"/>
        <w:rPr>
          <w:szCs w:val="21"/>
        </w:rPr>
      </w:pPr>
      <w:r>
        <w:rPr>
          <w:rFonts w:hint="eastAsia"/>
          <w:szCs w:val="21"/>
        </w:rPr>
        <w:t>准确移取稀释一定体积的6种真菌毒素单标标准储备液（</w:t>
      </w:r>
      <w:r>
        <w:rPr>
          <w:szCs w:val="21"/>
        </w:rPr>
        <w:t>4.13.1</w:t>
      </w:r>
      <w:r>
        <w:rPr>
          <w:rFonts w:hint="eastAsia"/>
          <w:szCs w:val="21"/>
        </w:rPr>
        <w:t>），用乙腈定容，配制成特定浓度的混合标准使用液，</w:t>
      </w:r>
      <w:r>
        <w:rPr>
          <w:szCs w:val="21"/>
        </w:rPr>
        <w:t>其中青霉酸的浓度为1.50 μg/mL，桔青霉素的浓度为5.0 μg/mL，霉酚酸的浓度为1.50 μg/mL，异烟棒曲霉素C的浓度为0.50 μg/mL，赭曲霉毒素A的浓度为0.10 μg/mL，黄绿青霉素的浓度为2.0 μg/mL</w:t>
      </w:r>
      <w:r>
        <w:rPr>
          <w:rFonts w:hint="eastAsia"/>
          <w:szCs w:val="21"/>
        </w:rPr>
        <w:t>此溶液4℃密封避光保存，有效期一个月。</w:t>
      </w:r>
    </w:p>
    <w:p>
      <w:pPr>
        <w:pStyle w:val="143"/>
        <w:numPr>
          <w:ilvl w:val="2"/>
          <w:numId w:val="3"/>
        </w:numPr>
        <w:spacing w:line="360" w:lineRule="auto"/>
        <w:ind w:firstLineChars="0"/>
        <w:outlineLvl w:val="2"/>
        <w:rPr>
          <w:rFonts w:ascii="黑体" w:hAnsi="黑体" w:eastAsia="黑体"/>
          <w:kern w:val="44"/>
          <w:szCs w:val="21"/>
        </w:rPr>
      </w:pPr>
      <w:r>
        <w:rPr>
          <w:rFonts w:ascii="黑体" w:hAnsi="黑体" w:eastAsia="黑体"/>
          <w:kern w:val="44"/>
          <w:szCs w:val="21"/>
        </w:rPr>
        <w:t xml:space="preserve"> </w:t>
      </w:r>
      <w:r>
        <w:rPr>
          <w:rFonts w:hint="eastAsia" w:ascii="黑体" w:hAnsi="黑体" w:eastAsia="黑体"/>
          <w:kern w:val="44"/>
          <w:szCs w:val="21"/>
        </w:rPr>
        <w:t>混合标准工作液</w:t>
      </w:r>
      <w:r>
        <w:rPr>
          <w:rFonts w:ascii="黑体" w:hAnsi="黑体" w:eastAsia="黑体"/>
          <w:kern w:val="44"/>
          <w:szCs w:val="21"/>
        </w:rPr>
        <w:t>2</w:t>
      </w:r>
    </w:p>
    <w:p>
      <w:pPr>
        <w:spacing w:line="360" w:lineRule="auto"/>
        <w:ind w:firstLine="420" w:firstLineChars="200"/>
        <w:rPr>
          <w:szCs w:val="21"/>
        </w:rPr>
      </w:pPr>
      <w:r>
        <w:rPr>
          <w:szCs w:val="21"/>
        </w:rPr>
        <w:t>准确移取</w:t>
      </w:r>
      <w:r>
        <w:rPr>
          <w:rFonts w:hint="eastAsia"/>
          <w:szCs w:val="21"/>
        </w:rPr>
        <w:t>稀释</w:t>
      </w:r>
      <w:r>
        <w:rPr>
          <w:szCs w:val="21"/>
        </w:rPr>
        <w:t>一定体积的6种真菌毒素</w:t>
      </w:r>
      <w:r>
        <w:rPr>
          <w:rFonts w:hint="eastAsia"/>
          <w:szCs w:val="21"/>
        </w:rPr>
        <w:t>单标标准储备液</w:t>
      </w:r>
      <w:r>
        <w:rPr>
          <w:szCs w:val="21"/>
        </w:rPr>
        <w:t>（4.13.1）</w:t>
      </w:r>
      <w:r>
        <w:rPr>
          <w:rFonts w:hint="eastAsia"/>
          <w:szCs w:val="21"/>
        </w:rPr>
        <w:t>，</w:t>
      </w:r>
      <w:r>
        <w:rPr>
          <w:szCs w:val="21"/>
        </w:rPr>
        <w:t>用乙腈定容，配制成特定浓度的混合标准使用液，其中青霉酸的浓度为1.50 μg/mL，桔青霉素的浓度为5.0 μg/mL，霉酚酸的浓度为1.50 μg/mL，异烟棒曲霉素C的浓度为0.50 μg/mL，赭曲霉毒素A的浓度为0.15 μg/mL，黄绿青霉素的浓度为2.0 μg/mL，此溶液4℃密封避光保存</w:t>
      </w:r>
      <w:r>
        <w:rPr>
          <w:rFonts w:hint="eastAsia"/>
          <w:szCs w:val="21"/>
        </w:rPr>
        <w:t>，有效期一个月</w:t>
      </w:r>
      <w:r>
        <w:rPr>
          <w:szCs w:val="21"/>
        </w:rPr>
        <w:t>。</w:t>
      </w:r>
    </w:p>
    <w:bookmarkEnd w:id="13"/>
    <w:p>
      <w:pPr>
        <w:pStyle w:val="68"/>
        <w:rPr>
          <w:rFonts w:hAnsi="黑体"/>
          <w:szCs w:val="21"/>
        </w:rPr>
      </w:pPr>
      <w:bookmarkStart w:id="14" w:name="_Toc1649852"/>
      <w:r>
        <w:rPr>
          <w:rFonts w:hAnsi="黑体"/>
          <w:szCs w:val="21"/>
        </w:rPr>
        <w:t>仪器及设备</w:t>
      </w:r>
      <w:bookmarkEnd w:id="14"/>
    </w:p>
    <w:p>
      <w:pPr>
        <w:pStyle w:val="143"/>
        <w:spacing w:line="360" w:lineRule="auto"/>
        <w:ind w:firstLine="840" w:firstLineChars="400"/>
        <w:rPr>
          <w:rFonts w:ascii="Times New Roman" w:hAnsi="Times New Roman"/>
          <w:szCs w:val="21"/>
        </w:rPr>
      </w:pPr>
      <w:r>
        <w:rPr>
          <w:rFonts w:ascii="Times New Roman" w:hAnsi="Times New Roman"/>
          <w:szCs w:val="21"/>
        </w:rPr>
        <w:t>除实验室常规仪器设备外，应注意下列仪器设备。</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超高效液相色谱-串联质谱仪</w:t>
      </w:r>
    </w:p>
    <w:p>
      <w:pPr>
        <w:ind w:firstLine="945" w:firstLineChars="450"/>
      </w:pPr>
      <w:r>
        <w:t>配有电喷雾离子源</w:t>
      </w:r>
      <w:r>
        <w:rPr>
          <w:rFonts w:hint="eastAsia"/>
        </w:rPr>
        <w:t>。</w:t>
      </w:r>
    </w:p>
    <w:p>
      <w:pPr>
        <w:pStyle w:val="143"/>
        <w:numPr>
          <w:ilvl w:val="1"/>
          <w:numId w:val="3"/>
        </w:numPr>
        <w:spacing w:line="360" w:lineRule="auto"/>
        <w:ind w:firstLineChars="0"/>
        <w:outlineLvl w:val="2"/>
        <w:rPr>
          <w:rFonts w:ascii="黑体" w:hAnsi="黑体" w:eastAsia="黑体"/>
          <w:szCs w:val="21"/>
        </w:rPr>
      </w:pPr>
      <w:bookmarkStart w:id="15" w:name="_Toc898202"/>
      <w:bookmarkStart w:id="16" w:name="_Toc1649853"/>
      <w:r>
        <w:rPr>
          <w:rFonts w:ascii="黑体" w:hAnsi="黑体" w:eastAsia="黑体"/>
          <w:szCs w:val="21"/>
        </w:rPr>
        <w:t>天平</w:t>
      </w:r>
      <w:bookmarkEnd w:id="15"/>
      <w:bookmarkEnd w:id="16"/>
    </w:p>
    <w:p>
      <w:pPr>
        <w:pStyle w:val="143"/>
        <w:spacing w:line="360" w:lineRule="auto"/>
        <w:ind w:firstLine="840" w:firstLineChars="400"/>
        <w:rPr>
          <w:rFonts w:ascii="Times New Roman" w:hAnsi="Times New Roman"/>
          <w:szCs w:val="21"/>
        </w:rPr>
      </w:pPr>
      <w:r>
        <w:rPr>
          <w:rFonts w:ascii="Times New Roman" w:hAnsi="Times New Roman"/>
          <w:szCs w:val="21"/>
        </w:rPr>
        <w:t>感量0.1 mg和0.01 g。</w:t>
      </w:r>
    </w:p>
    <w:p>
      <w:pPr>
        <w:pStyle w:val="143"/>
        <w:numPr>
          <w:ilvl w:val="1"/>
          <w:numId w:val="3"/>
        </w:numPr>
        <w:spacing w:line="360" w:lineRule="auto"/>
        <w:ind w:firstLineChars="0"/>
        <w:outlineLvl w:val="2"/>
        <w:rPr>
          <w:rFonts w:ascii="Times New Roman" w:hAnsi="Times New Roman" w:eastAsia="黑体"/>
          <w:szCs w:val="21"/>
        </w:rPr>
      </w:pPr>
      <w:bookmarkStart w:id="17" w:name="_Toc898203"/>
      <w:bookmarkStart w:id="18" w:name="_Toc1649854"/>
      <w:r>
        <w:rPr>
          <w:rFonts w:ascii="Times New Roman" w:hAnsi="Times New Roman" w:eastAsia="黑体"/>
          <w:szCs w:val="21"/>
        </w:rPr>
        <w:t>粉碎机</w:t>
      </w:r>
      <w:bookmarkEnd w:id="17"/>
      <w:bookmarkEnd w:id="18"/>
    </w:p>
    <w:p>
      <w:pPr>
        <w:pStyle w:val="143"/>
        <w:spacing w:line="360" w:lineRule="auto"/>
        <w:ind w:firstLine="840" w:firstLineChars="400"/>
        <w:rPr>
          <w:rFonts w:ascii="Times New Roman" w:hAnsi="Times New Roman"/>
          <w:szCs w:val="21"/>
        </w:rPr>
      </w:pPr>
      <w:r>
        <w:rPr>
          <w:rFonts w:ascii="Times New Roman" w:hAnsi="Times New Roman"/>
          <w:szCs w:val="21"/>
        </w:rPr>
        <w:t>电机转速≥1000 r/min</w:t>
      </w:r>
      <w:r>
        <w:rPr>
          <w:rFonts w:hint="eastAsia" w:ascii="Times New Roman" w:hAnsi="Times New Roman"/>
          <w:szCs w:val="21"/>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冷冻离心机</w:t>
      </w:r>
    </w:p>
    <w:p>
      <w:pPr>
        <w:pStyle w:val="143"/>
        <w:spacing w:line="360" w:lineRule="auto"/>
        <w:ind w:firstLine="840" w:firstLineChars="400"/>
        <w:rPr>
          <w:rFonts w:ascii="Times New Roman" w:hAnsi="Times New Roman"/>
          <w:szCs w:val="21"/>
        </w:rPr>
      </w:pPr>
      <w:r>
        <w:rPr>
          <w:rFonts w:ascii="Times New Roman" w:hAnsi="Times New Roman"/>
          <w:szCs w:val="21"/>
        </w:rPr>
        <w:t>转速≥12000 r/min，可设4</w:t>
      </w:r>
      <w:r>
        <w:rPr>
          <w:rFonts w:hint="eastAsia" w:ascii="Times New Roman" w:hAnsi="Times New Roman"/>
          <w:szCs w:val="21"/>
        </w:rPr>
        <w:t>℃</w:t>
      </w:r>
      <w:r>
        <w:rPr>
          <w:rFonts w:ascii="Times New Roman" w:hAnsi="Times New Roman"/>
          <w:szCs w:val="21"/>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涡旋混合器</w:t>
      </w:r>
    </w:p>
    <w:p>
      <w:pPr>
        <w:pStyle w:val="143"/>
        <w:spacing w:line="360" w:lineRule="auto"/>
        <w:ind w:firstLine="840" w:firstLineChars="400"/>
        <w:rPr>
          <w:rFonts w:ascii="Times New Roman" w:hAnsi="Times New Roman"/>
          <w:szCs w:val="21"/>
        </w:rPr>
      </w:pPr>
      <w:r>
        <w:rPr>
          <w:rFonts w:ascii="Times New Roman" w:hAnsi="Times New Roman"/>
          <w:szCs w:val="21"/>
        </w:rPr>
        <w:t>转速≥100 r/min。</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振荡器</w:t>
      </w:r>
    </w:p>
    <w:p>
      <w:pPr>
        <w:ind w:firstLine="840" w:firstLineChars="400"/>
      </w:pPr>
      <w:r>
        <w:t>振荡频率≥50次/min</w:t>
      </w:r>
      <w:r>
        <w:rPr>
          <w:rFonts w:hint="eastAsia"/>
        </w:rPr>
        <w:t>。</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筛网</w:t>
      </w:r>
    </w:p>
    <w:p>
      <w:pPr>
        <w:spacing w:line="360" w:lineRule="auto"/>
        <w:ind w:firstLine="840" w:firstLineChars="400"/>
        <w:rPr>
          <w:szCs w:val="21"/>
        </w:rPr>
      </w:pPr>
      <w:r>
        <w:rPr>
          <w:szCs w:val="21"/>
        </w:rPr>
        <w:t>500 μm孔径试验筛。</w:t>
      </w:r>
    </w:p>
    <w:p>
      <w:pPr>
        <w:pStyle w:val="143"/>
        <w:numPr>
          <w:ilvl w:val="1"/>
          <w:numId w:val="3"/>
        </w:numPr>
        <w:spacing w:line="360" w:lineRule="auto"/>
        <w:ind w:firstLineChars="0"/>
        <w:outlineLvl w:val="2"/>
        <w:rPr>
          <w:rFonts w:ascii="Times New Roman" w:hAnsi="Times New Roman" w:eastAsia="黑体"/>
          <w:szCs w:val="21"/>
        </w:rPr>
      </w:pPr>
      <w:r>
        <w:rPr>
          <w:rFonts w:ascii="Times New Roman" w:hAnsi="Times New Roman" w:eastAsia="黑体"/>
          <w:szCs w:val="21"/>
        </w:rPr>
        <w:t>超声波清洗器</w:t>
      </w:r>
    </w:p>
    <w:p>
      <w:pPr>
        <w:pStyle w:val="68"/>
        <w:rPr>
          <w:rFonts w:hAnsi="黑体"/>
          <w:szCs w:val="21"/>
        </w:rPr>
      </w:pPr>
      <w:bookmarkStart w:id="19" w:name="_Toc1649860"/>
      <w:r>
        <w:rPr>
          <w:rFonts w:hAnsi="黑体"/>
          <w:szCs w:val="21"/>
        </w:rPr>
        <w:t>样品制备</w:t>
      </w:r>
      <w:bookmarkEnd w:id="19"/>
    </w:p>
    <w:p>
      <w:pPr>
        <w:pStyle w:val="143"/>
        <w:numPr>
          <w:ilvl w:val="1"/>
          <w:numId w:val="3"/>
        </w:numPr>
        <w:spacing w:line="360" w:lineRule="auto"/>
        <w:ind w:firstLineChars="0"/>
        <w:outlineLvl w:val="2"/>
        <w:rPr>
          <w:rFonts w:ascii="黑体" w:hAnsi="黑体" w:eastAsia="黑体"/>
          <w:szCs w:val="21"/>
        </w:rPr>
      </w:pPr>
      <w:r>
        <w:rPr>
          <w:rFonts w:ascii="Times New Roman" w:hAnsi="Times New Roman"/>
          <w:szCs w:val="21"/>
        </w:rPr>
        <w:t xml:space="preserve"> </w:t>
      </w:r>
      <w:bookmarkStart w:id="20" w:name="_Toc1649861"/>
      <w:bookmarkStart w:id="21" w:name="_Toc898209"/>
      <w:r>
        <w:rPr>
          <w:rFonts w:ascii="黑体" w:hAnsi="黑体" w:eastAsia="黑体"/>
          <w:szCs w:val="21"/>
        </w:rPr>
        <w:t>扦样与分样</w:t>
      </w:r>
      <w:bookmarkEnd w:id="20"/>
      <w:bookmarkEnd w:id="21"/>
    </w:p>
    <w:p>
      <w:pPr>
        <w:pStyle w:val="143"/>
        <w:spacing w:line="360" w:lineRule="auto"/>
        <w:rPr>
          <w:rFonts w:ascii="Times New Roman" w:hAnsi="Times New Roman"/>
          <w:szCs w:val="21"/>
        </w:rPr>
      </w:pPr>
      <w:r>
        <w:rPr>
          <w:rFonts w:ascii="Times New Roman" w:hAnsi="Times New Roman"/>
          <w:szCs w:val="21"/>
        </w:rPr>
        <w:t>按GB 5491执行。</w:t>
      </w:r>
    </w:p>
    <w:p>
      <w:pPr>
        <w:pStyle w:val="143"/>
        <w:numPr>
          <w:ilvl w:val="1"/>
          <w:numId w:val="3"/>
        </w:numPr>
        <w:spacing w:line="360" w:lineRule="auto"/>
        <w:ind w:firstLineChars="0"/>
        <w:outlineLvl w:val="2"/>
        <w:rPr>
          <w:rFonts w:ascii="黑体" w:hAnsi="黑体" w:eastAsia="黑体"/>
          <w:szCs w:val="21"/>
        </w:rPr>
      </w:pPr>
      <w:r>
        <w:rPr>
          <w:rFonts w:ascii="Times New Roman" w:hAnsi="Times New Roman"/>
          <w:szCs w:val="21"/>
        </w:rPr>
        <w:t xml:space="preserve"> </w:t>
      </w:r>
      <w:bookmarkStart w:id="22" w:name="_Toc1649862"/>
      <w:bookmarkStart w:id="23" w:name="_Toc898210"/>
      <w:r>
        <w:rPr>
          <w:rFonts w:ascii="黑体" w:hAnsi="黑体" w:eastAsia="黑体"/>
          <w:szCs w:val="21"/>
        </w:rPr>
        <w:t>样品粉碎</w:t>
      </w:r>
      <w:bookmarkEnd w:id="22"/>
      <w:bookmarkEnd w:id="23"/>
    </w:p>
    <w:p>
      <w:pPr>
        <w:pStyle w:val="143"/>
        <w:spacing w:line="360" w:lineRule="auto"/>
        <w:rPr>
          <w:rFonts w:ascii="Times New Roman" w:hAnsi="Times New Roman"/>
          <w:szCs w:val="21"/>
        </w:rPr>
      </w:pPr>
      <w:r>
        <w:rPr>
          <w:rFonts w:ascii="Times New Roman" w:hAnsi="Times New Roman"/>
          <w:szCs w:val="21"/>
        </w:rPr>
        <w:t>样品经粉碎机粉碎，过500 μm孔径试验筛，混匀，待测。</w:t>
      </w:r>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 xml:space="preserve"> </w:t>
      </w:r>
      <w:bookmarkStart w:id="24" w:name="_Toc1649863"/>
      <w:bookmarkStart w:id="25" w:name="_Toc898211"/>
      <w:r>
        <w:rPr>
          <w:rFonts w:ascii="黑体" w:hAnsi="黑体" w:eastAsia="黑体"/>
          <w:szCs w:val="21"/>
        </w:rPr>
        <w:t>待测溶液制备</w:t>
      </w:r>
      <w:bookmarkEnd w:id="24"/>
      <w:bookmarkEnd w:id="25"/>
    </w:p>
    <w:p>
      <w:pPr>
        <w:pStyle w:val="143"/>
        <w:spacing w:line="360" w:lineRule="auto"/>
        <w:rPr>
          <w:rFonts w:ascii="黑体" w:hAnsi="黑体" w:eastAsia="黑体"/>
          <w:szCs w:val="21"/>
        </w:rPr>
      </w:pPr>
      <w:bookmarkStart w:id="26" w:name="_Hlk85203028"/>
      <w:r>
        <w:rPr>
          <w:rFonts w:hint="eastAsia" w:ascii="黑体" w:hAnsi="黑体" w:eastAsia="黑体"/>
          <w:szCs w:val="21"/>
        </w:rPr>
        <w:t>6</w:t>
      </w:r>
      <w:r>
        <w:rPr>
          <w:rFonts w:ascii="黑体" w:hAnsi="黑体" w:eastAsia="黑体"/>
          <w:szCs w:val="21"/>
        </w:rPr>
        <w:t xml:space="preserve">.3.1 </w:t>
      </w:r>
      <w:r>
        <w:rPr>
          <w:rFonts w:hint="eastAsia" w:ascii="黑体" w:hAnsi="黑体" w:eastAsia="黑体"/>
          <w:szCs w:val="21"/>
        </w:rPr>
        <w:t>大米、玉米、小麦</w:t>
      </w:r>
    </w:p>
    <w:p>
      <w:pPr>
        <w:pStyle w:val="143"/>
        <w:spacing w:line="360" w:lineRule="auto"/>
        <w:rPr>
          <w:rFonts w:ascii="Times New Roman" w:hAnsi="Times New Roman"/>
          <w:szCs w:val="21"/>
        </w:rPr>
      </w:pPr>
      <w:r>
        <w:rPr>
          <w:rFonts w:ascii="Times New Roman" w:hAnsi="Times New Roman"/>
          <w:szCs w:val="21"/>
        </w:rPr>
        <w:t>准确称取2 g（精确到0.01 g）样品于50 mL离心管中，加入20 mL提取液，涡旋或震荡提取</w:t>
      </w:r>
      <w:r>
        <w:rPr>
          <w:rFonts w:hint="eastAsia" w:ascii="Times New Roman" w:hAnsi="Times New Roman"/>
          <w:szCs w:val="21"/>
        </w:rPr>
        <w:t>4</w:t>
      </w:r>
      <w:r>
        <w:rPr>
          <w:rFonts w:ascii="Times New Roman" w:hAnsi="Times New Roman"/>
          <w:szCs w:val="21"/>
        </w:rPr>
        <w:t>5 min，</w:t>
      </w:r>
      <w:r>
        <w:rPr>
          <w:rFonts w:hint="eastAsia" w:ascii="Times New Roman" w:hAnsi="Times New Roman"/>
          <w:szCs w:val="21"/>
        </w:rPr>
        <w:t>加入Qu</w:t>
      </w:r>
      <w:r>
        <w:rPr>
          <w:rFonts w:ascii="Times New Roman" w:hAnsi="Times New Roman"/>
          <w:szCs w:val="21"/>
        </w:rPr>
        <w:t>EchERS</w:t>
      </w:r>
      <w:r>
        <w:rPr>
          <w:rFonts w:hint="eastAsia" w:ascii="Times New Roman" w:hAnsi="Times New Roman"/>
          <w:szCs w:val="21"/>
        </w:rPr>
        <w:t>盐包，迅速用手震摇1</w:t>
      </w:r>
      <w:r>
        <w:rPr>
          <w:rFonts w:ascii="Times New Roman" w:hAnsi="Times New Roman"/>
          <w:szCs w:val="21"/>
        </w:rPr>
        <w:t xml:space="preserve"> </w:t>
      </w:r>
      <w:r>
        <w:rPr>
          <w:rFonts w:hint="eastAsia" w:ascii="Times New Roman" w:hAnsi="Times New Roman"/>
          <w:szCs w:val="21"/>
        </w:rPr>
        <w:t>min，</w:t>
      </w:r>
      <w:r>
        <w:rPr>
          <w:rFonts w:ascii="Times New Roman" w:hAnsi="Times New Roman"/>
          <w:szCs w:val="21"/>
        </w:rPr>
        <w:t>然后以10000 r/min离心10 min，</w:t>
      </w:r>
      <w:r>
        <w:rPr>
          <w:rFonts w:hint="eastAsia" w:ascii="Times New Roman" w:hAnsi="Times New Roman"/>
          <w:szCs w:val="21"/>
        </w:rPr>
        <w:t>取8</w:t>
      </w:r>
      <w:r>
        <w:rPr>
          <w:rFonts w:ascii="Times New Roman" w:hAnsi="Times New Roman"/>
          <w:szCs w:val="21"/>
        </w:rPr>
        <w:t>00 μL</w:t>
      </w:r>
      <w:r>
        <w:rPr>
          <w:rFonts w:hint="eastAsia" w:ascii="Times New Roman" w:hAnsi="Times New Roman"/>
          <w:szCs w:val="21"/>
        </w:rPr>
        <w:t>上清液过Q</w:t>
      </w:r>
      <w:r>
        <w:rPr>
          <w:rFonts w:ascii="Times New Roman" w:hAnsi="Times New Roman"/>
          <w:szCs w:val="21"/>
        </w:rPr>
        <w:t>asis PRIME HLB</w:t>
      </w:r>
      <w:r>
        <w:rPr>
          <w:rFonts w:hint="eastAsia" w:ascii="Times New Roman" w:hAnsi="Times New Roman"/>
          <w:szCs w:val="21"/>
        </w:rPr>
        <w:t>小柱，弃去流出液8</w:t>
      </w:r>
      <w:r>
        <w:rPr>
          <w:rFonts w:ascii="Times New Roman" w:hAnsi="Times New Roman"/>
          <w:szCs w:val="21"/>
        </w:rPr>
        <w:t>00 μL</w:t>
      </w:r>
      <w:r>
        <w:rPr>
          <w:rFonts w:hint="eastAsia" w:ascii="Times New Roman" w:hAnsi="Times New Roman"/>
          <w:szCs w:val="21"/>
        </w:rPr>
        <w:t>，再取</w:t>
      </w:r>
      <w:r>
        <w:rPr>
          <w:rFonts w:ascii="Times New Roman" w:hAnsi="Times New Roman"/>
          <w:szCs w:val="21"/>
        </w:rPr>
        <w:t>2 mL</w:t>
      </w:r>
      <w:r>
        <w:rPr>
          <w:rFonts w:hint="eastAsia" w:ascii="Times New Roman" w:hAnsi="Times New Roman"/>
          <w:szCs w:val="21"/>
        </w:rPr>
        <w:t>上清液过柱，接流出液1</w:t>
      </w:r>
      <w:r>
        <w:rPr>
          <w:rFonts w:ascii="Times New Roman" w:hAnsi="Times New Roman"/>
          <w:szCs w:val="21"/>
        </w:rPr>
        <w:t xml:space="preserve"> mL于2 mL离心管中，在4</w:t>
      </w:r>
      <w:r>
        <w:rPr>
          <w:rFonts w:hint="eastAsia" w:ascii="Times New Roman" w:hAnsi="Times New Roman"/>
          <w:szCs w:val="21"/>
        </w:rPr>
        <w:t>℃</w:t>
      </w:r>
      <w:r>
        <w:rPr>
          <w:rFonts w:ascii="Times New Roman" w:hAnsi="Times New Roman"/>
          <w:szCs w:val="21"/>
        </w:rPr>
        <w:t>下以12000 r/min离心10 min，</w:t>
      </w:r>
      <w:r>
        <w:rPr>
          <w:rFonts w:hint="eastAsia" w:ascii="Times New Roman" w:hAnsi="Times New Roman"/>
          <w:szCs w:val="21"/>
        </w:rPr>
        <w:t>取上清</w:t>
      </w:r>
      <w:r>
        <w:rPr>
          <w:rFonts w:ascii="Times New Roman" w:hAnsi="Times New Roman"/>
          <w:szCs w:val="21"/>
        </w:rPr>
        <w:t>500 μL</w:t>
      </w:r>
      <w:r>
        <w:rPr>
          <w:rFonts w:hint="eastAsia" w:ascii="Times New Roman" w:hAnsi="Times New Roman"/>
          <w:szCs w:val="21"/>
        </w:rPr>
        <w:t>加入</w:t>
      </w:r>
      <w:r>
        <w:rPr>
          <w:rFonts w:ascii="Times New Roman" w:hAnsi="Times New Roman"/>
          <w:szCs w:val="21"/>
        </w:rPr>
        <w:t>500 μL</w:t>
      </w:r>
      <w:r>
        <w:rPr>
          <w:rFonts w:hint="eastAsia" w:ascii="Times New Roman" w:hAnsi="Times New Roman"/>
          <w:szCs w:val="21"/>
        </w:rPr>
        <w:t>甲醇：水=</w:t>
      </w:r>
      <w:r>
        <w:rPr>
          <w:rFonts w:ascii="Times New Roman" w:hAnsi="Times New Roman"/>
          <w:szCs w:val="21"/>
        </w:rPr>
        <w:t>1</w:t>
      </w:r>
      <w:r>
        <w:rPr>
          <w:rFonts w:hint="eastAsia" w:ascii="Times New Roman" w:hAnsi="Times New Roman"/>
          <w:szCs w:val="21"/>
        </w:rPr>
        <w:t>：9（V</w:t>
      </w:r>
      <w:r>
        <w:rPr>
          <w:rFonts w:ascii="Times New Roman" w:hAnsi="Times New Roman"/>
          <w:szCs w:val="21"/>
        </w:rPr>
        <w:t>/V</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涡旋均匀，上机分析</w:t>
      </w:r>
      <w:r>
        <w:rPr>
          <w:rFonts w:ascii="Times New Roman" w:hAnsi="Times New Roman"/>
          <w:szCs w:val="21"/>
        </w:rPr>
        <w:t>。</w:t>
      </w:r>
    </w:p>
    <w:p>
      <w:pPr>
        <w:pStyle w:val="143"/>
        <w:spacing w:line="360" w:lineRule="auto"/>
        <w:rPr>
          <w:rFonts w:ascii="黑体" w:hAnsi="黑体" w:eastAsia="黑体"/>
          <w:szCs w:val="21"/>
        </w:rPr>
      </w:pPr>
      <w:r>
        <w:rPr>
          <w:rFonts w:hint="eastAsia" w:ascii="黑体" w:hAnsi="黑体" w:eastAsia="黑体"/>
          <w:szCs w:val="21"/>
        </w:rPr>
        <w:t>6</w:t>
      </w:r>
      <w:r>
        <w:rPr>
          <w:rFonts w:ascii="黑体" w:hAnsi="黑体" w:eastAsia="黑体"/>
          <w:szCs w:val="21"/>
        </w:rPr>
        <w:t xml:space="preserve">.3.2 </w:t>
      </w:r>
      <w:r>
        <w:rPr>
          <w:rFonts w:hint="eastAsia" w:ascii="黑体" w:hAnsi="黑体" w:eastAsia="黑体"/>
          <w:szCs w:val="21"/>
        </w:rPr>
        <w:t>饲料</w:t>
      </w:r>
    </w:p>
    <w:p>
      <w:pPr>
        <w:pStyle w:val="143"/>
        <w:spacing w:line="360" w:lineRule="auto"/>
        <w:rPr>
          <w:rFonts w:ascii="Times New Roman" w:hAnsi="Times New Roman"/>
          <w:szCs w:val="21"/>
        </w:rPr>
      </w:pPr>
      <w:r>
        <w:rPr>
          <w:rFonts w:ascii="Times New Roman" w:hAnsi="Times New Roman"/>
          <w:szCs w:val="21"/>
        </w:rPr>
        <w:t>准确称取2 g（精确到0.01 g）样品于50 mL离心管中，加入20 mL提取液，涡旋或震荡提取</w:t>
      </w:r>
      <w:r>
        <w:rPr>
          <w:rFonts w:hint="eastAsia" w:ascii="Times New Roman" w:hAnsi="Times New Roman"/>
          <w:szCs w:val="21"/>
        </w:rPr>
        <w:t>4</w:t>
      </w:r>
      <w:r>
        <w:rPr>
          <w:rFonts w:ascii="Times New Roman" w:hAnsi="Times New Roman"/>
          <w:szCs w:val="21"/>
        </w:rPr>
        <w:t>5 min，</w:t>
      </w:r>
      <w:r>
        <w:rPr>
          <w:rFonts w:hint="eastAsia" w:ascii="Times New Roman" w:hAnsi="Times New Roman"/>
          <w:szCs w:val="21"/>
        </w:rPr>
        <w:t>加入Qu</w:t>
      </w:r>
      <w:r>
        <w:rPr>
          <w:rFonts w:ascii="Times New Roman" w:hAnsi="Times New Roman"/>
          <w:szCs w:val="21"/>
        </w:rPr>
        <w:t>EchERS</w:t>
      </w:r>
      <w:r>
        <w:rPr>
          <w:rFonts w:hint="eastAsia" w:ascii="Times New Roman" w:hAnsi="Times New Roman"/>
          <w:szCs w:val="21"/>
        </w:rPr>
        <w:t>盐包，迅速用手震摇1</w:t>
      </w:r>
      <w:r>
        <w:rPr>
          <w:rFonts w:ascii="Times New Roman" w:hAnsi="Times New Roman"/>
          <w:szCs w:val="21"/>
        </w:rPr>
        <w:t xml:space="preserve"> </w:t>
      </w:r>
      <w:r>
        <w:rPr>
          <w:rFonts w:hint="eastAsia" w:ascii="Times New Roman" w:hAnsi="Times New Roman"/>
          <w:szCs w:val="21"/>
        </w:rPr>
        <w:t>min，</w:t>
      </w:r>
      <w:r>
        <w:rPr>
          <w:rFonts w:ascii="Times New Roman" w:hAnsi="Times New Roman"/>
          <w:szCs w:val="21"/>
        </w:rPr>
        <w:t>然后以10000 r/min离心10 min，</w:t>
      </w:r>
      <w:r>
        <w:rPr>
          <w:rFonts w:hint="eastAsia" w:ascii="Times New Roman" w:hAnsi="Times New Roman"/>
          <w:szCs w:val="21"/>
        </w:rPr>
        <w:t>先取</w:t>
      </w:r>
      <w:r>
        <w:rPr>
          <w:rFonts w:ascii="Times New Roman" w:hAnsi="Times New Roman"/>
          <w:szCs w:val="21"/>
        </w:rPr>
        <w:t>400 μL</w:t>
      </w:r>
      <w:r>
        <w:rPr>
          <w:rFonts w:hint="eastAsia" w:ascii="Times New Roman" w:hAnsi="Times New Roman"/>
          <w:szCs w:val="21"/>
        </w:rPr>
        <w:t>上清液过Q</w:t>
      </w:r>
      <w:r>
        <w:rPr>
          <w:rFonts w:ascii="Times New Roman" w:hAnsi="Times New Roman"/>
          <w:szCs w:val="21"/>
        </w:rPr>
        <w:t>asis PRIME HLB</w:t>
      </w:r>
      <w:r>
        <w:rPr>
          <w:rFonts w:hint="eastAsia" w:ascii="Times New Roman" w:hAnsi="Times New Roman"/>
          <w:szCs w:val="21"/>
        </w:rPr>
        <w:t>小柱，弃去流出液</w:t>
      </w:r>
      <w:r>
        <w:rPr>
          <w:rFonts w:ascii="Times New Roman" w:hAnsi="Times New Roman"/>
          <w:szCs w:val="21"/>
        </w:rPr>
        <w:t>400 μL</w:t>
      </w:r>
      <w:r>
        <w:rPr>
          <w:rFonts w:hint="eastAsia" w:ascii="Times New Roman" w:hAnsi="Times New Roman"/>
          <w:szCs w:val="21"/>
        </w:rPr>
        <w:t>，再取</w:t>
      </w:r>
      <w:r>
        <w:rPr>
          <w:rFonts w:ascii="Times New Roman" w:hAnsi="Times New Roman"/>
          <w:szCs w:val="21"/>
        </w:rPr>
        <w:t>2 mL</w:t>
      </w:r>
      <w:r>
        <w:rPr>
          <w:rFonts w:hint="eastAsia" w:ascii="Times New Roman" w:hAnsi="Times New Roman"/>
          <w:szCs w:val="21"/>
        </w:rPr>
        <w:t>上清液过柱，取流出液1</w:t>
      </w:r>
      <w:r>
        <w:rPr>
          <w:rFonts w:ascii="Times New Roman" w:hAnsi="Times New Roman"/>
          <w:szCs w:val="21"/>
        </w:rPr>
        <w:t xml:space="preserve"> mL于2 mL离心管中，在4</w:t>
      </w:r>
      <w:r>
        <w:rPr>
          <w:rFonts w:hint="eastAsia" w:ascii="Times New Roman" w:hAnsi="Times New Roman"/>
          <w:szCs w:val="21"/>
        </w:rPr>
        <w:t>℃</w:t>
      </w:r>
      <w:r>
        <w:rPr>
          <w:rFonts w:ascii="Times New Roman" w:hAnsi="Times New Roman"/>
          <w:szCs w:val="21"/>
        </w:rPr>
        <w:t>下以12000 r/min离心10 min，</w:t>
      </w:r>
      <w:r>
        <w:rPr>
          <w:rFonts w:hint="eastAsia" w:ascii="Times New Roman" w:hAnsi="Times New Roman"/>
          <w:szCs w:val="21"/>
        </w:rPr>
        <w:t>取上清</w:t>
      </w:r>
      <w:r>
        <w:rPr>
          <w:rFonts w:ascii="Times New Roman" w:hAnsi="Times New Roman"/>
          <w:szCs w:val="21"/>
        </w:rPr>
        <w:t>500 μL</w:t>
      </w:r>
      <w:r>
        <w:rPr>
          <w:rFonts w:hint="eastAsia" w:ascii="Times New Roman" w:hAnsi="Times New Roman"/>
          <w:szCs w:val="21"/>
        </w:rPr>
        <w:t>加入</w:t>
      </w:r>
      <w:r>
        <w:rPr>
          <w:rFonts w:ascii="Times New Roman" w:hAnsi="Times New Roman"/>
          <w:szCs w:val="21"/>
        </w:rPr>
        <w:t>500 μL</w:t>
      </w:r>
      <w:r>
        <w:rPr>
          <w:rFonts w:hint="eastAsia" w:ascii="Times New Roman" w:hAnsi="Times New Roman"/>
          <w:szCs w:val="21"/>
        </w:rPr>
        <w:t>甲醇：水=</w:t>
      </w:r>
      <w:r>
        <w:rPr>
          <w:rFonts w:ascii="Times New Roman" w:hAnsi="Times New Roman"/>
          <w:szCs w:val="21"/>
        </w:rPr>
        <w:t>1</w:t>
      </w:r>
      <w:r>
        <w:rPr>
          <w:rFonts w:hint="eastAsia" w:ascii="Times New Roman" w:hAnsi="Times New Roman"/>
          <w:szCs w:val="21"/>
        </w:rPr>
        <w:t>：9（V</w:t>
      </w:r>
      <w:r>
        <w:rPr>
          <w:rFonts w:ascii="Times New Roman" w:hAnsi="Times New Roman"/>
          <w:szCs w:val="21"/>
        </w:rPr>
        <w:t>/V</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涡旋均匀，上机分析</w:t>
      </w:r>
      <w:r>
        <w:rPr>
          <w:rFonts w:ascii="Times New Roman" w:hAnsi="Times New Roman"/>
          <w:szCs w:val="21"/>
        </w:rPr>
        <w:t>。</w:t>
      </w:r>
    </w:p>
    <w:bookmarkEnd w:id="26"/>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 xml:space="preserve"> 基质匹配标准曲线的绘制</w:t>
      </w:r>
    </w:p>
    <w:p>
      <w:pPr>
        <w:spacing w:line="360" w:lineRule="auto"/>
        <w:ind w:firstLine="420" w:firstLineChars="200"/>
      </w:pPr>
      <w:r>
        <w:rPr>
          <w:rFonts w:hint="eastAsia"/>
        </w:rPr>
        <w:t>小麦、玉米、大米：</w:t>
      </w:r>
      <w:r>
        <w:t>按</w:t>
      </w:r>
      <w:r>
        <w:rPr>
          <w:rFonts w:hint="eastAsia"/>
        </w:rPr>
        <w:t>“</w:t>
      </w:r>
      <w:r>
        <w:t>6.3</w:t>
      </w:r>
      <w:r>
        <w:rPr>
          <w:rFonts w:hint="eastAsia"/>
        </w:rPr>
        <w:t>”</w:t>
      </w:r>
      <w:r>
        <w:t>处理</w:t>
      </w:r>
      <w:r>
        <w:rPr>
          <w:rFonts w:hint="eastAsia"/>
        </w:rPr>
        <w:t>基质空白</w:t>
      </w:r>
      <w:r>
        <w:t>样品，获得试样空白基质。</w:t>
      </w:r>
      <w:bookmarkStart w:id="27" w:name="_Hlk85203712"/>
      <w:r>
        <w:t>分别取</w:t>
      </w:r>
      <w:r>
        <w:rPr>
          <w:rFonts w:hint="eastAsia"/>
        </w:rPr>
        <w:t>1、</w:t>
      </w:r>
      <w:r>
        <w:t>2、</w:t>
      </w:r>
      <w:r>
        <w:rPr>
          <w:rFonts w:hint="eastAsia"/>
        </w:rPr>
        <w:t>4</w:t>
      </w:r>
      <w:r>
        <w:t>、8、12、16、20 μL</w:t>
      </w:r>
      <w:r>
        <w:rPr>
          <w:rFonts w:hint="eastAsia"/>
        </w:rPr>
        <w:t>混合标准工作液（4</w:t>
      </w:r>
      <w:r>
        <w:t>.13.2</w:t>
      </w:r>
      <w:r>
        <w:rPr>
          <w:rFonts w:hint="eastAsia"/>
        </w:rPr>
        <w:t>）于2</w:t>
      </w:r>
      <w:r>
        <w:t xml:space="preserve"> mL</w:t>
      </w:r>
      <w:r>
        <w:rPr>
          <w:rFonts w:hint="eastAsia"/>
        </w:rPr>
        <w:t>进样瓶中，用空白基质稀释至1</w:t>
      </w:r>
      <w:r>
        <w:t xml:space="preserve"> </w:t>
      </w:r>
      <w:r>
        <w:rPr>
          <w:rFonts w:hint="eastAsia"/>
        </w:rPr>
        <w:t>m</w:t>
      </w:r>
      <w:r>
        <w:t>L</w:t>
      </w:r>
      <w:r>
        <w:rPr>
          <w:rFonts w:hint="eastAsia"/>
        </w:rPr>
        <w:t>，涡旋3</w:t>
      </w:r>
      <w:r>
        <w:t>0 s</w:t>
      </w:r>
      <w:r>
        <w:rPr>
          <w:rFonts w:hint="eastAsia"/>
        </w:rPr>
        <w:t>，分别制得附录B</w:t>
      </w:r>
      <w:r>
        <w:t>.5</w:t>
      </w:r>
      <w:r>
        <w:rPr>
          <w:rFonts w:hint="eastAsia"/>
        </w:rPr>
        <w:t>所示浓度梯度系列基质匹配标准工作溶液，上机分析</w:t>
      </w:r>
      <w:bookmarkEnd w:id="27"/>
      <w:r>
        <w:rPr>
          <w:rFonts w:hint="eastAsia"/>
        </w:rPr>
        <w:t>。</w:t>
      </w:r>
    </w:p>
    <w:p>
      <w:pPr>
        <w:spacing w:line="360" w:lineRule="auto"/>
        <w:ind w:firstLine="420" w:firstLineChars="200"/>
      </w:pPr>
      <w:r>
        <w:rPr>
          <w:rFonts w:hint="eastAsia"/>
        </w:rPr>
        <w:t>饲料：</w:t>
      </w:r>
      <w:r>
        <w:t>按</w:t>
      </w:r>
      <w:r>
        <w:rPr>
          <w:rFonts w:hint="eastAsia"/>
        </w:rPr>
        <w:t>“</w:t>
      </w:r>
      <w:r>
        <w:t>6.3</w:t>
      </w:r>
      <w:r>
        <w:rPr>
          <w:rFonts w:hint="eastAsia"/>
        </w:rPr>
        <w:t>”</w:t>
      </w:r>
      <w:r>
        <w:t>处理</w:t>
      </w:r>
      <w:r>
        <w:rPr>
          <w:rFonts w:hint="eastAsia"/>
        </w:rPr>
        <w:t>基饲料基质空白</w:t>
      </w:r>
      <w:r>
        <w:t>样品，获得试样空白基质。分别取</w:t>
      </w:r>
      <w:r>
        <w:rPr>
          <w:rFonts w:hint="eastAsia"/>
        </w:rPr>
        <w:t>1、</w:t>
      </w:r>
      <w:r>
        <w:t>2、</w:t>
      </w:r>
      <w:r>
        <w:rPr>
          <w:rFonts w:hint="eastAsia"/>
        </w:rPr>
        <w:t>4</w:t>
      </w:r>
      <w:r>
        <w:t>、8、12、16、20 μL</w:t>
      </w:r>
      <w:r>
        <w:rPr>
          <w:rFonts w:hint="eastAsia"/>
        </w:rPr>
        <w:t>混合标准工作液（4</w:t>
      </w:r>
      <w:r>
        <w:t>.13.3</w:t>
      </w:r>
      <w:r>
        <w:rPr>
          <w:rFonts w:hint="eastAsia"/>
        </w:rPr>
        <w:t>）于2</w:t>
      </w:r>
      <w:r>
        <w:t xml:space="preserve"> mL</w:t>
      </w:r>
      <w:r>
        <w:rPr>
          <w:rFonts w:hint="eastAsia"/>
        </w:rPr>
        <w:t>进样瓶中，用空白基质稀释至1</w:t>
      </w:r>
      <w:r>
        <w:t xml:space="preserve"> </w:t>
      </w:r>
      <w:r>
        <w:rPr>
          <w:rFonts w:hint="eastAsia"/>
        </w:rPr>
        <w:t>m</w:t>
      </w:r>
      <w:r>
        <w:t>L</w:t>
      </w:r>
      <w:r>
        <w:rPr>
          <w:rFonts w:hint="eastAsia"/>
        </w:rPr>
        <w:t>，涡旋3</w:t>
      </w:r>
      <w:r>
        <w:t>0 s</w:t>
      </w:r>
      <w:r>
        <w:rPr>
          <w:rFonts w:hint="eastAsia"/>
        </w:rPr>
        <w:t>，分别制得附录B</w:t>
      </w:r>
      <w:r>
        <w:t>.6</w:t>
      </w:r>
      <w:r>
        <w:rPr>
          <w:rFonts w:hint="eastAsia"/>
        </w:rPr>
        <w:t>所示浓度梯度系列基质匹配标准工作溶液，上机分析。</w:t>
      </w:r>
    </w:p>
    <w:p>
      <w:pPr>
        <w:pStyle w:val="68"/>
        <w:rPr>
          <w:rFonts w:hAnsi="黑体"/>
          <w:szCs w:val="21"/>
        </w:rPr>
      </w:pPr>
      <w:bookmarkStart w:id="28" w:name="_Toc1649864"/>
      <w:r>
        <w:rPr>
          <w:rFonts w:hAnsi="黑体"/>
          <w:szCs w:val="21"/>
        </w:rPr>
        <w:t>样品测定</w:t>
      </w:r>
      <w:bookmarkEnd w:id="28"/>
    </w:p>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液相色谱参考条件</w:t>
      </w:r>
    </w:p>
    <w:p>
      <w:pPr>
        <w:spacing w:line="360" w:lineRule="auto"/>
        <w:ind w:firstLine="630" w:firstLineChars="300"/>
        <w:rPr>
          <w:szCs w:val="21"/>
        </w:rPr>
      </w:pPr>
      <w:bookmarkStart w:id="29" w:name="_Hlk85201125"/>
      <w:bookmarkStart w:id="30" w:name="_Hlk85202945"/>
      <w:r>
        <w:rPr>
          <w:szCs w:val="21"/>
        </w:rPr>
        <w:t>色谱柱：</w:t>
      </w:r>
      <w:r>
        <w:rPr>
          <w:rFonts w:hint="eastAsia"/>
          <w:szCs w:val="21"/>
        </w:rPr>
        <w:t>A</w:t>
      </w:r>
      <w:r>
        <w:rPr>
          <w:szCs w:val="21"/>
        </w:rPr>
        <w:t>CQUITY UPLC BEH C18</w:t>
      </w:r>
      <w:r>
        <w:rPr>
          <w:rFonts w:hint="eastAsia"/>
          <w:szCs w:val="21"/>
        </w:rPr>
        <w:t>（</w:t>
      </w:r>
      <w:r>
        <w:rPr>
          <w:szCs w:val="21"/>
        </w:rPr>
        <w:t>100×2.1 mm</w:t>
      </w:r>
      <w:r>
        <w:rPr>
          <w:rFonts w:hint="eastAsia"/>
          <w:szCs w:val="21"/>
        </w:rPr>
        <w:t>，</w:t>
      </w:r>
      <w:r>
        <w:rPr>
          <w:szCs w:val="21"/>
        </w:rPr>
        <w:t>1.7 μm</w:t>
      </w:r>
      <w:r>
        <w:rPr>
          <w:rFonts w:hint="eastAsia"/>
          <w:szCs w:val="21"/>
        </w:rPr>
        <w:t>）</w:t>
      </w:r>
      <w:r>
        <w:rPr>
          <w:szCs w:val="21"/>
        </w:rPr>
        <w:t>柱</w:t>
      </w:r>
      <w:bookmarkEnd w:id="29"/>
      <w:r>
        <w:rPr>
          <w:szCs w:val="21"/>
        </w:rPr>
        <w:t>；</w:t>
      </w:r>
    </w:p>
    <w:p>
      <w:pPr>
        <w:spacing w:line="360" w:lineRule="auto"/>
        <w:ind w:firstLine="630" w:firstLineChars="300"/>
        <w:rPr>
          <w:szCs w:val="21"/>
        </w:rPr>
      </w:pPr>
      <w:r>
        <w:rPr>
          <w:szCs w:val="21"/>
        </w:rPr>
        <w:t>流动相：A</w:t>
      </w:r>
      <w:r>
        <w:rPr>
          <w:rFonts w:hint="eastAsia"/>
          <w:szCs w:val="21"/>
        </w:rPr>
        <w:t>相（</w:t>
      </w:r>
      <w:r>
        <w:rPr>
          <w:szCs w:val="21"/>
        </w:rPr>
        <w:t>0.1%</w:t>
      </w:r>
      <w:r>
        <w:rPr>
          <w:rFonts w:hint="eastAsia"/>
          <w:szCs w:val="21"/>
        </w:rPr>
        <w:t>甲酸水溶液）</w:t>
      </w:r>
      <w:r>
        <w:rPr>
          <w:szCs w:val="21"/>
        </w:rPr>
        <w:t>和B</w:t>
      </w:r>
      <w:r>
        <w:rPr>
          <w:rFonts w:hint="eastAsia"/>
          <w:szCs w:val="21"/>
        </w:rPr>
        <w:t>相（甲醇）</w:t>
      </w:r>
      <w:r>
        <w:rPr>
          <w:szCs w:val="21"/>
        </w:rPr>
        <w:t>组成；</w:t>
      </w:r>
    </w:p>
    <w:p>
      <w:pPr>
        <w:spacing w:line="360" w:lineRule="auto"/>
        <w:ind w:firstLine="630" w:firstLineChars="300"/>
        <w:rPr>
          <w:szCs w:val="21"/>
        </w:rPr>
      </w:pPr>
      <w:r>
        <w:rPr>
          <w:szCs w:val="21"/>
        </w:rPr>
        <w:t>流速：0.3 mL/min；</w:t>
      </w:r>
    </w:p>
    <w:p>
      <w:pPr>
        <w:spacing w:line="360" w:lineRule="auto"/>
        <w:ind w:firstLine="630" w:firstLineChars="300"/>
        <w:rPr>
          <w:szCs w:val="21"/>
        </w:rPr>
      </w:pPr>
      <w:r>
        <w:rPr>
          <w:szCs w:val="21"/>
        </w:rPr>
        <w:t>进样量：5 μL；</w:t>
      </w:r>
    </w:p>
    <w:p>
      <w:pPr>
        <w:spacing w:line="360" w:lineRule="auto"/>
        <w:ind w:firstLine="630" w:firstLineChars="300"/>
        <w:rPr>
          <w:szCs w:val="21"/>
        </w:rPr>
      </w:pPr>
      <w:r>
        <w:rPr>
          <w:szCs w:val="21"/>
        </w:rPr>
        <w:t>柱温：45</w:t>
      </w:r>
      <w:r>
        <w:rPr>
          <w:rFonts w:hint="eastAsia"/>
          <w:szCs w:val="21"/>
        </w:rPr>
        <w:t>℃。</w:t>
      </w:r>
    </w:p>
    <w:bookmarkEnd w:id="30"/>
    <w:p>
      <w:pPr>
        <w:pStyle w:val="143"/>
        <w:numPr>
          <w:ilvl w:val="1"/>
          <w:numId w:val="3"/>
        </w:numPr>
        <w:spacing w:line="360" w:lineRule="auto"/>
        <w:ind w:firstLineChars="0"/>
        <w:outlineLvl w:val="2"/>
        <w:rPr>
          <w:rFonts w:ascii="黑体" w:hAnsi="黑体" w:eastAsia="黑体"/>
          <w:szCs w:val="21"/>
        </w:rPr>
      </w:pPr>
      <w:r>
        <w:rPr>
          <w:rFonts w:ascii="黑体" w:hAnsi="黑体" w:eastAsia="黑体"/>
          <w:szCs w:val="21"/>
        </w:rPr>
        <w:t>质谱参考条件</w:t>
      </w:r>
      <w:r>
        <w:rPr>
          <w:rFonts w:hint="eastAsia" w:ascii="黑体" w:hAnsi="黑体" w:eastAsia="黑体"/>
          <w:szCs w:val="21"/>
        </w:rPr>
        <w:t xml:space="preserve"> </w:t>
      </w:r>
    </w:p>
    <w:p>
      <w:pPr>
        <w:spacing w:line="360" w:lineRule="auto"/>
        <w:ind w:firstLine="630" w:firstLineChars="300"/>
        <w:rPr>
          <w:szCs w:val="21"/>
        </w:rPr>
      </w:pPr>
      <w:bookmarkStart w:id="31" w:name="_Hlk85202906"/>
      <w:r>
        <w:rPr>
          <w:szCs w:val="21"/>
        </w:rPr>
        <w:t>离子源：电喷雾离子源；</w:t>
      </w:r>
    </w:p>
    <w:p>
      <w:pPr>
        <w:spacing w:line="360" w:lineRule="auto"/>
        <w:ind w:firstLine="630" w:firstLineChars="300"/>
        <w:rPr>
          <w:szCs w:val="21"/>
        </w:rPr>
      </w:pPr>
      <w:r>
        <w:rPr>
          <w:szCs w:val="21"/>
        </w:rPr>
        <w:t>扫描模式：ESI+；</w:t>
      </w:r>
    </w:p>
    <w:p>
      <w:pPr>
        <w:spacing w:line="360" w:lineRule="auto"/>
        <w:ind w:firstLine="630" w:firstLineChars="300"/>
        <w:rPr>
          <w:szCs w:val="21"/>
        </w:rPr>
      </w:pPr>
      <w:r>
        <w:rPr>
          <w:szCs w:val="21"/>
        </w:rPr>
        <w:t>检测方式</w:t>
      </w:r>
      <w:r>
        <w:rPr>
          <w:rFonts w:hint="eastAsia"/>
          <w:szCs w:val="21"/>
        </w:rPr>
        <w:t>：</w:t>
      </w:r>
      <w:r>
        <w:rPr>
          <w:szCs w:val="21"/>
        </w:rPr>
        <w:t>多反应监测；</w:t>
      </w:r>
    </w:p>
    <w:p>
      <w:pPr>
        <w:spacing w:line="360" w:lineRule="auto"/>
        <w:ind w:firstLine="630" w:firstLineChars="300"/>
        <w:rPr>
          <w:szCs w:val="21"/>
        </w:rPr>
      </w:pPr>
      <w:r>
        <w:rPr>
          <w:szCs w:val="21"/>
        </w:rPr>
        <w:t>毛细管电压：0.5 kV（+），0.5 kV（－）；</w:t>
      </w:r>
    </w:p>
    <w:p>
      <w:pPr>
        <w:spacing w:line="360" w:lineRule="auto"/>
        <w:ind w:firstLine="630" w:firstLineChars="300"/>
        <w:rPr>
          <w:szCs w:val="21"/>
        </w:rPr>
      </w:pPr>
      <w:r>
        <w:rPr>
          <w:rFonts w:hint="eastAsia"/>
          <w:szCs w:val="21"/>
        </w:rPr>
        <w:t>脱溶剂气流速</w:t>
      </w:r>
      <w:r>
        <w:rPr>
          <w:szCs w:val="21"/>
        </w:rPr>
        <w:t>：600</w:t>
      </w:r>
      <w:r>
        <w:rPr>
          <w:rFonts w:hint="eastAsia"/>
          <w:szCs w:val="21"/>
        </w:rPr>
        <w:t>℃，</w:t>
      </w:r>
      <w:r>
        <w:rPr>
          <w:szCs w:val="21"/>
        </w:rPr>
        <w:t>1000 L</w:t>
      </w:r>
      <w:r>
        <w:rPr>
          <w:rFonts w:hint="eastAsia"/>
          <w:szCs w:val="21"/>
        </w:rPr>
        <w:t>/</w:t>
      </w:r>
      <w:r>
        <w:rPr>
          <w:szCs w:val="21"/>
        </w:rPr>
        <w:t>h</w:t>
      </w:r>
      <w:r>
        <w:rPr>
          <w:rFonts w:hint="eastAsia"/>
          <w:szCs w:val="21"/>
        </w:rPr>
        <w:t>；</w:t>
      </w:r>
    </w:p>
    <w:p>
      <w:pPr>
        <w:spacing w:line="360" w:lineRule="auto"/>
        <w:ind w:firstLine="630" w:firstLineChars="300"/>
        <w:rPr>
          <w:szCs w:val="21"/>
        </w:rPr>
      </w:pPr>
      <w:r>
        <w:rPr>
          <w:szCs w:val="21"/>
        </w:rPr>
        <w:t>锥孔气流速：150 L/h</w:t>
      </w:r>
      <w:r>
        <w:rPr>
          <w:rFonts w:hint="eastAsia"/>
          <w:szCs w:val="21"/>
        </w:rPr>
        <w:t>。</w:t>
      </w:r>
    </w:p>
    <w:bookmarkEnd w:id="31"/>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定性测定</w:t>
      </w:r>
    </w:p>
    <w:p>
      <w:pPr>
        <w:pStyle w:val="41"/>
        <w:spacing w:line="400" w:lineRule="atLeast"/>
        <w:rPr>
          <w:rFonts w:ascii="Times New Roman"/>
        </w:rPr>
      </w:pPr>
      <w:bookmarkStart w:id="32" w:name="_Hlk42248200"/>
      <w:r>
        <w:rPr>
          <w:rFonts w:hint="eastAsia" w:ascii="Times New Roman"/>
        </w:rPr>
        <w:t>按照色谱-质谱条件测定样品，如果检测的色谱峰保留时间与标准品色谱峰保留时间一致。允许偏差小于±2.5%；定性离子与定量离子的相对丰度与浓度相当的标准工作液的相对丰度一致，相对丰度偏差不超过表3规定，则可判断样品中存在被测物。</w:t>
      </w:r>
    </w:p>
    <w:p>
      <w:pPr>
        <w:pStyle w:val="41"/>
        <w:spacing w:line="400" w:lineRule="atLeast"/>
        <w:ind w:firstLine="0" w:firstLineChars="0"/>
        <w:jc w:val="center"/>
        <w:rPr>
          <w:rFonts w:ascii="Times New Roman"/>
          <w:bCs/>
        </w:rPr>
      </w:pPr>
      <w:r>
        <w:rPr>
          <w:rFonts w:ascii="Times New Roman"/>
          <w:bCs/>
        </w:rPr>
        <w:t>表</w:t>
      </w:r>
      <w:r>
        <w:rPr>
          <w:rFonts w:hint="eastAsia" w:ascii="Times New Roman"/>
          <w:bCs/>
        </w:rPr>
        <w:t>3</w:t>
      </w:r>
      <w:r>
        <w:rPr>
          <w:rFonts w:ascii="Times New Roman"/>
          <w:bCs/>
        </w:rPr>
        <w:t xml:space="preserve"> 定性确证时离子丰度允许的最大误差</w:t>
      </w:r>
    </w:p>
    <w:bookmarkEnd w:id="32"/>
    <w:tbl>
      <w:tblPr>
        <w:tblStyle w:val="29"/>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88"/>
        <w:gridCol w:w="1890"/>
        <w:gridCol w:w="1894"/>
        <w:gridCol w:w="1894"/>
        <w:gridCol w:w="1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相对离子丰度</w:t>
            </w:r>
          </w:p>
        </w:tc>
        <w:tc>
          <w:tcPr>
            <w:tcW w:w="1914" w:type="dxa"/>
            <w:shd w:val="clear" w:color="auto" w:fill="auto"/>
          </w:tcPr>
          <w:p>
            <w:pPr>
              <w:pStyle w:val="41"/>
              <w:spacing w:line="400" w:lineRule="atLeast"/>
              <w:ind w:firstLine="0" w:firstLineChars="0"/>
              <w:rPr>
                <w:rFonts w:ascii="Times New Roman"/>
                <w:szCs w:val="21"/>
              </w:rPr>
            </w:pPr>
            <w:r>
              <w:rPr>
                <w:rFonts w:ascii="Times New Roman"/>
                <w:szCs w:val="21"/>
              </w:rPr>
              <w:t>&gt;50</w:t>
            </w:r>
          </w:p>
        </w:tc>
        <w:tc>
          <w:tcPr>
            <w:tcW w:w="1914" w:type="dxa"/>
            <w:shd w:val="clear" w:color="auto" w:fill="auto"/>
          </w:tcPr>
          <w:p>
            <w:pPr>
              <w:pStyle w:val="41"/>
              <w:spacing w:line="400" w:lineRule="atLeast"/>
              <w:ind w:firstLine="0" w:firstLineChars="0"/>
              <w:rPr>
                <w:rFonts w:ascii="Times New Roman"/>
                <w:szCs w:val="21"/>
              </w:rPr>
            </w:pPr>
            <w:r>
              <w:rPr>
                <w:rFonts w:ascii="Times New Roman"/>
                <w:szCs w:val="21"/>
              </w:rPr>
              <w:t>20~50</w:t>
            </w:r>
          </w:p>
        </w:tc>
        <w:tc>
          <w:tcPr>
            <w:tcW w:w="1914" w:type="dxa"/>
            <w:shd w:val="clear" w:color="auto" w:fill="auto"/>
          </w:tcPr>
          <w:p>
            <w:pPr>
              <w:pStyle w:val="41"/>
              <w:spacing w:line="400" w:lineRule="atLeast"/>
              <w:ind w:firstLine="0" w:firstLineChars="0"/>
              <w:rPr>
                <w:rFonts w:ascii="Times New Roman"/>
                <w:szCs w:val="21"/>
              </w:rPr>
            </w:pPr>
            <w:r>
              <w:rPr>
                <w:rFonts w:ascii="Times New Roman"/>
                <w:szCs w:val="21"/>
              </w:rPr>
              <w:t>10~20</w:t>
            </w:r>
          </w:p>
        </w:tc>
        <w:tc>
          <w:tcPr>
            <w:tcW w:w="1914" w:type="dxa"/>
            <w:shd w:val="clear" w:color="auto" w:fill="auto"/>
          </w:tcPr>
          <w:p>
            <w:pPr>
              <w:pStyle w:val="41"/>
              <w:spacing w:line="400" w:lineRule="atLeast"/>
              <w:ind w:firstLine="0" w:firstLineChars="0"/>
              <w:rPr>
                <w:rFonts w:ascii="Times New Roman"/>
                <w:szCs w:val="21"/>
              </w:rPr>
            </w:pPr>
            <w:r>
              <w:rPr>
                <w:rFonts w:hint="eastAsia" w:ascii="Times New Roman"/>
                <w:szCs w:val="21"/>
              </w:rPr>
              <w:t>&lt;</w:t>
            </w:r>
            <w:r>
              <w:rPr>
                <w:rFonts w:ascii="Times New Roman"/>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允许的最大误差</w:t>
            </w:r>
          </w:p>
        </w:tc>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±20</w:t>
            </w:r>
          </w:p>
        </w:tc>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±25</w:t>
            </w:r>
          </w:p>
        </w:tc>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±30</w:t>
            </w:r>
          </w:p>
        </w:tc>
        <w:tc>
          <w:tcPr>
            <w:tcW w:w="1914" w:type="dxa"/>
            <w:shd w:val="clear" w:color="auto" w:fill="auto"/>
          </w:tcPr>
          <w:p>
            <w:pPr>
              <w:pStyle w:val="41"/>
              <w:spacing w:line="400" w:lineRule="atLeast"/>
              <w:ind w:firstLine="0" w:firstLineChars="0"/>
              <w:rPr>
                <w:rFonts w:ascii="Times New Roman"/>
                <w:b/>
                <w:bCs/>
                <w:szCs w:val="18"/>
              </w:rPr>
            </w:pPr>
            <w:r>
              <w:rPr>
                <w:rFonts w:ascii="Times New Roman"/>
                <w:szCs w:val="21"/>
              </w:rPr>
              <w:t>±50</w:t>
            </w:r>
          </w:p>
        </w:tc>
      </w:tr>
    </w:tbl>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定量测定</w:t>
      </w:r>
    </w:p>
    <w:p>
      <w:pPr>
        <w:spacing w:line="360" w:lineRule="auto"/>
        <w:ind w:firstLine="420" w:firstLineChars="200"/>
        <w:rPr>
          <w:szCs w:val="21"/>
        </w:rPr>
      </w:pPr>
      <w:bookmarkStart w:id="33" w:name="_Hlk85202761"/>
      <w:r>
        <w:rPr>
          <w:szCs w:val="21"/>
        </w:rPr>
        <w:t>按照液相色谱-质谱条件（7.1和7.2）对标准溶液进行测定，以待测毒素浓度为横坐标（x轴），目标物质的峰面积为纵坐标（y轴），对各个数据点进行最小二乘线性拟合，标准曲线按式（1）计算：</w:t>
      </w:r>
    </w:p>
    <w:p>
      <w:pPr>
        <w:spacing w:line="360" w:lineRule="auto"/>
        <w:jc w:val="center"/>
        <w:rPr>
          <w:szCs w:val="21"/>
        </w:rPr>
      </w:pPr>
      <w:r>
        <w:rPr>
          <w:szCs w:val="21"/>
        </w:rPr>
        <w:t xml:space="preserve">                      </w:t>
      </w:r>
      <m:oMath>
        <m:r>
          <m:rPr/>
          <w:rPr>
            <w:rFonts w:ascii="Cambria Math" w:hAnsi="Cambria Math"/>
            <w:szCs w:val="21"/>
          </w:rPr>
          <m:t>A</m:t>
        </m:r>
        <m:r>
          <m:rPr/>
          <w:rPr>
            <w:rFonts w:hint="eastAsia" w:ascii="Cambria Math" w:hAnsi="Cambria Math"/>
            <w:szCs w:val="21"/>
          </w:rPr>
          <m:t>r</m:t>
        </m:r>
        <m:r>
          <m:rPr/>
          <w:rPr>
            <w:rFonts w:ascii="Cambria Math" w:hAnsi="Cambria Math"/>
            <w:szCs w:val="21"/>
          </w:rPr>
          <m:t>ea=ac+</m:t>
        </m:r>
        <w:bookmarkStart w:id="34" w:name="_Hlk86256157"/>
        <m:r>
          <m:rPr/>
          <w:rPr>
            <w:rFonts w:ascii="Cambria Math" w:hAnsi="Cambria Math"/>
            <w:szCs w:val="21"/>
          </w:rPr>
          <m:t>b</m:t>
        </m:r>
        <w:bookmarkEnd w:id="34"/>
      </m:oMath>
      <w:r>
        <w:rPr>
          <w:szCs w:val="21"/>
        </w:rPr>
        <w:t xml:space="preserve">                                      式（1）</w:t>
      </w:r>
    </w:p>
    <w:p>
      <w:pPr>
        <w:rPr>
          <w:szCs w:val="21"/>
        </w:rPr>
      </w:pPr>
      <w:r>
        <w:rPr>
          <w:szCs w:val="21"/>
        </w:rPr>
        <w:t>式中：</w:t>
      </w:r>
    </w:p>
    <w:p>
      <w:pPr>
        <w:spacing w:line="360" w:lineRule="auto"/>
        <w:ind w:firstLine="420" w:firstLineChars="200"/>
        <w:rPr>
          <w:color w:val="0070C0"/>
          <w:szCs w:val="21"/>
        </w:rPr>
      </w:pPr>
      <m:oMath>
        <m:r>
          <m:rPr/>
          <w:rPr>
            <w:rFonts w:ascii="Cambria Math" w:hAnsi="Cambria Math"/>
            <w:szCs w:val="21"/>
          </w:rPr>
          <m:t>A</m:t>
        </m:r>
        <m:r>
          <m:rPr/>
          <w:rPr>
            <w:rFonts w:hint="eastAsia" w:ascii="Cambria Math" w:hAnsi="Cambria Math"/>
            <w:szCs w:val="21"/>
          </w:rPr>
          <m:t>rea</m:t>
        </m:r>
      </m:oMath>
      <w:r>
        <w:rPr>
          <w:szCs w:val="21"/>
        </w:rPr>
        <w:t>——目标物质的峰面积</w:t>
      </w:r>
      <w:r>
        <w:rPr>
          <w:rFonts w:hint="eastAsia"/>
          <w:szCs w:val="21"/>
        </w:rPr>
        <w:t>；</w:t>
      </w:r>
      <w:r>
        <w:rPr>
          <w:rFonts w:hint="eastAsia"/>
          <w:color w:val="FF0000"/>
          <w:szCs w:val="21"/>
        </w:rPr>
        <w:t xml:space="preserve"> </w:t>
      </w:r>
    </w:p>
    <w:p>
      <w:pPr>
        <w:spacing w:line="360" w:lineRule="auto"/>
        <w:ind w:firstLine="420" w:firstLineChars="200"/>
        <w:rPr>
          <w:szCs w:val="21"/>
        </w:rPr>
      </w:pPr>
      <m:oMath>
        <m:r>
          <m:rPr/>
          <w:rPr>
            <w:rFonts w:ascii="Cambria Math" w:hAnsi="Cambria Math"/>
            <w:szCs w:val="21"/>
          </w:rPr>
          <m:t>a</m:t>
        </m:r>
      </m:oMath>
      <w:r>
        <w:rPr>
          <w:szCs w:val="21"/>
        </w:rPr>
        <w:t>——回归曲线的斜率</w:t>
      </w:r>
      <w:r>
        <w:rPr>
          <w:rFonts w:hint="eastAsia"/>
          <w:szCs w:val="21"/>
        </w:rPr>
        <w:t>；</w:t>
      </w:r>
    </w:p>
    <w:p>
      <w:pPr>
        <w:spacing w:line="360" w:lineRule="auto"/>
        <w:ind w:firstLine="420" w:firstLineChars="200"/>
        <w:rPr>
          <w:szCs w:val="21"/>
        </w:rPr>
      </w:pPr>
      <m:oMath>
        <m:r>
          <m:rPr/>
          <w:rPr>
            <w:rFonts w:hint="eastAsia" w:ascii="Cambria Math" w:hAnsi="Cambria Math"/>
            <w:szCs w:val="21"/>
          </w:rPr>
          <m:t>c</m:t>
        </m:r>
      </m:oMath>
      <w:r>
        <w:rPr>
          <w:szCs w:val="21"/>
        </w:rPr>
        <w:t>——目标物质的浓度</w:t>
      </w:r>
      <w:r>
        <w:rPr>
          <w:rFonts w:hint="eastAsia"/>
          <w:szCs w:val="21"/>
        </w:rPr>
        <w:t>（</w:t>
      </w:r>
      <w:r>
        <w:rPr>
          <w:szCs w:val="21"/>
        </w:rPr>
        <w:t>μg/L）</w:t>
      </w:r>
      <w:r>
        <w:rPr>
          <w:rFonts w:hint="eastAsia"/>
          <w:szCs w:val="21"/>
        </w:rPr>
        <w:t>；</w:t>
      </w:r>
      <w:r>
        <w:rPr>
          <w:szCs w:val="21"/>
        </w:rPr>
        <w:t xml:space="preserve"> </w:t>
      </w:r>
    </w:p>
    <w:p>
      <w:pPr>
        <w:spacing w:line="360" w:lineRule="auto"/>
        <w:ind w:firstLine="420" w:firstLineChars="200"/>
        <w:rPr>
          <w:szCs w:val="21"/>
        </w:rPr>
      </w:pPr>
      <m:oMath>
        <m:r>
          <m:rPr/>
          <w:rPr>
            <w:rFonts w:ascii="Cambria Math" w:hAnsi="Cambria Math"/>
            <w:szCs w:val="21"/>
          </w:rPr>
          <m:t>b</m:t>
        </m:r>
      </m:oMath>
      <w:r>
        <w:rPr>
          <w:szCs w:val="21"/>
        </w:rPr>
        <w:t>——回归曲线的截距</w:t>
      </w:r>
      <w:r>
        <w:rPr>
          <w:rFonts w:hint="eastAsia"/>
          <w:szCs w:val="21"/>
        </w:rPr>
        <w:t>。</w:t>
      </w:r>
    </w:p>
    <w:p>
      <w:pPr>
        <w:pStyle w:val="68"/>
        <w:spacing w:line="400" w:lineRule="atLeast"/>
        <w:rPr>
          <w:rFonts w:ascii="Times New Roman"/>
          <w:szCs w:val="21"/>
        </w:rPr>
      </w:pPr>
      <w:bookmarkStart w:id="35" w:name="_Toc898212"/>
      <w:bookmarkStart w:id="36" w:name="_Toc39150143"/>
      <w:r>
        <w:rPr>
          <w:rFonts w:ascii="Times New Roman"/>
          <w:szCs w:val="21"/>
        </w:rPr>
        <w:t>结果表述</w:t>
      </w:r>
      <w:bookmarkEnd w:id="35"/>
      <w:bookmarkEnd w:id="36"/>
    </w:p>
    <w:p>
      <w:pPr>
        <w:spacing w:line="360" w:lineRule="auto"/>
        <w:ind w:firstLine="420" w:firstLineChars="200"/>
        <w:rPr>
          <w:szCs w:val="21"/>
        </w:rPr>
      </w:pPr>
      <w:r>
        <w:rPr>
          <w:szCs w:val="21"/>
        </w:rPr>
        <w:t>样品中真菌毒素的含量按式（2）计算：</w:t>
      </w:r>
    </w:p>
    <w:p>
      <w:pPr>
        <w:spacing w:line="360" w:lineRule="auto"/>
        <w:ind w:firstLine="420" w:firstLineChars="200"/>
        <w:rPr>
          <w:szCs w:val="21"/>
        </w:rPr>
      </w:pPr>
      <w:r>
        <w:rPr>
          <w:szCs w:val="21"/>
        </w:rPr>
        <w:t xml:space="preserve">                            </w:t>
      </w:r>
      <m:oMath>
        <w:bookmarkStart w:id="37" w:name="_Hlk86256179"/>
        <m:r>
          <m:rPr/>
          <w:rPr>
            <w:rFonts w:hint="eastAsia" w:ascii="Cambria Math" w:hAnsi="Cambria Math"/>
            <w:szCs w:val="21"/>
          </w:rPr>
          <m:t>X</m:t>
        </m:r>
        <w:bookmarkEnd w:id="37"/>
        <m:r>
          <m:rPr/>
          <w:rPr>
            <w:rFonts w:ascii="Cambria Math" w:hAnsi="Cambria Math"/>
            <w:szCs w:val="21"/>
          </w:rPr>
          <m:t>=c</m:t>
        </m:r>
        <m:r>
          <m:rPr/>
          <w:rPr>
            <w:rFonts w:hint="eastAsia" w:ascii="Cambria Math" w:hAnsi="Cambria Math"/>
            <w:szCs w:val="21"/>
          </w:rPr>
          <m:t>×</m:t>
        </m:r>
        <w:bookmarkStart w:id="38" w:name="_Hlk86256196"/>
        <m:r>
          <m:rPr/>
          <w:rPr>
            <w:rFonts w:hint="eastAsia" w:ascii="Cambria Math" w:hAnsi="Cambria Math"/>
            <w:szCs w:val="21"/>
          </w:rPr>
          <m:t>V</m:t>
        </m:r>
        <w:bookmarkEnd w:id="38"/>
        <m:r>
          <m:rPr/>
          <w:rPr>
            <w:rFonts w:hint="eastAsia" w:ascii="Cambria Math" w:hAnsi="Cambria Math"/>
            <w:szCs w:val="21"/>
          </w:rPr>
          <m:t>×</m:t>
        </m:r>
        <m:r>
          <m:rPr/>
          <w:rPr>
            <w:rFonts w:ascii="Cambria Math" w:hAnsi="Cambria Math"/>
            <w:szCs w:val="21"/>
          </w:rPr>
          <m:t>f/</m:t>
        </m:r>
        <w:bookmarkStart w:id="39" w:name="_Hlk86256212"/>
        <m:r>
          <m:rPr/>
          <w:rPr>
            <w:rFonts w:ascii="Cambria Math" w:hAnsi="Cambria Math"/>
            <w:szCs w:val="21"/>
          </w:rPr>
          <m:t>m</m:t>
        </m:r>
      </m:oMath>
      <w:bookmarkEnd w:id="39"/>
    </w:p>
    <w:p>
      <w:pPr>
        <w:spacing w:line="360" w:lineRule="auto"/>
        <w:ind w:firstLine="420" w:firstLineChars="200"/>
        <w:rPr>
          <w:szCs w:val="21"/>
        </w:rPr>
      </w:pPr>
      <w:r>
        <w:rPr>
          <w:szCs w:val="21"/>
        </w:rPr>
        <w:t>式中：</w:t>
      </w:r>
    </w:p>
    <w:p>
      <w:pPr>
        <w:spacing w:line="360" w:lineRule="auto"/>
        <w:ind w:firstLine="420" w:firstLineChars="200"/>
        <w:rPr>
          <w:szCs w:val="21"/>
        </w:rPr>
      </w:pPr>
      <m:oMath>
        <m:r>
          <m:rPr/>
          <w:rPr>
            <w:rFonts w:hint="eastAsia" w:ascii="Cambria Math" w:hAnsi="Cambria Math"/>
            <w:szCs w:val="21"/>
          </w:rPr>
          <m:t>X</m:t>
        </m:r>
      </m:oMath>
      <w:r>
        <w:rPr>
          <w:szCs w:val="21"/>
        </w:rPr>
        <w:t>——样品中待测毒素的含量</w:t>
      </w:r>
      <w:r>
        <w:rPr>
          <w:rFonts w:hint="eastAsia"/>
          <w:szCs w:val="21"/>
        </w:rPr>
        <w:t>，单位为微克每千克（</w:t>
      </w:r>
      <w:r>
        <w:rPr>
          <w:szCs w:val="21"/>
        </w:rPr>
        <w:t>μg/kg</w:t>
      </w:r>
      <w:r>
        <w:rPr>
          <w:rFonts w:hint="eastAsia"/>
          <w:szCs w:val="21"/>
        </w:rPr>
        <w:t>）；</w:t>
      </w:r>
    </w:p>
    <w:p>
      <w:pPr>
        <w:spacing w:line="360" w:lineRule="auto"/>
        <w:ind w:firstLine="420" w:firstLineChars="200"/>
        <w:rPr>
          <w:szCs w:val="21"/>
        </w:rPr>
      </w:pPr>
      <m:oMath>
        <m:r>
          <m:rPr/>
          <w:rPr>
            <w:rFonts w:ascii="Cambria Math" w:hAnsi="Cambria Math"/>
            <w:szCs w:val="21"/>
          </w:rPr>
          <m:t>c</m:t>
        </m:r>
      </m:oMath>
      <w:r>
        <w:rPr>
          <w:szCs w:val="21"/>
        </w:rPr>
        <w:t>——按7.4中式（1）计算得到测定液中待测毒素的浓度</w:t>
      </w:r>
      <w:r>
        <w:rPr>
          <w:rFonts w:hint="eastAsia"/>
          <w:szCs w:val="21"/>
        </w:rPr>
        <w:t>（</w:t>
      </w:r>
      <w:r>
        <w:rPr>
          <w:szCs w:val="21"/>
        </w:rPr>
        <w:t>μg/L</w:t>
      </w:r>
      <w:r>
        <w:rPr>
          <w:rFonts w:hint="eastAsia"/>
          <w:szCs w:val="21"/>
        </w:rPr>
        <w:t>）；</w:t>
      </w:r>
    </w:p>
    <w:p>
      <w:pPr>
        <w:spacing w:line="360" w:lineRule="auto"/>
        <w:ind w:firstLine="420" w:firstLineChars="200"/>
        <w:rPr>
          <w:szCs w:val="21"/>
        </w:rPr>
      </w:pPr>
      <m:oMath>
        <m:r>
          <m:rPr/>
          <w:rPr>
            <w:rFonts w:hint="eastAsia" w:ascii="Cambria Math" w:hAnsi="Cambria Math"/>
            <w:szCs w:val="21"/>
          </w:rPr>
          <m:t>V</m:t>
        </m:r>
      </m:oMath>
      <w:r>
        <w:rPr>
          <w:szCs w:val="21"/>
        </w:rPr>
        <w:t>——加入提取液</w:t>
      </w:r>
      <w:r>
        <w:rPr>
          <w:rFonts w:hint="eastAsia"/>
          <w:szCs w:val="21"/>
        </w:rPr>
        <w:t>有机相</w:t>
      </w:r>
      <w:r>
        <w:rPr>
          <w:szCs w:val="21"/>
        </w:rPr>
        <w:t>体积</w:t>
      </w:r>
      <w:r>
        <w:rPr>
          <w:rFonts w:hint="eastAsia"/>
          <w:szCs w:val="21"/>
        </w:rPr>
        <w:t>，</w:t>
      </w:r>
      <w:r>
        <w:rPr>
          <w:szCs w:val="21"/>
        </w:rPr>
        <w:t>0.0144 L</w:t>
      </w:r>
      <w:r>
        <w:rPr>
          <w:rFonts w:hint="eastAsia"/>
          <w:szCs w:val="21"/>
        </w:rPr>
        <w:t>；</w:t>
      </w:r>
    </w:p>
    <w:p>
      <w:pPr>
        <w:spacing w:line="360" w:lineRule="auto"/>
        <w:ind w:firstLine="420" w:firstLineChars="200"/>
        <w:rPr>
          <w:szCs w:val="21"/>
        </w:rPr>
      </w:pPr>
      <m:oMath>
        <m:r>
          <m:rPr/>
          <w:rPr>
            <w:rFonts w:ascii="Cambria Math" w:hAnsi="Cambria Math"/>
            <w:szCs w:val="21"/>
          </w:rPr>
          <m:t>f</m:t>
        </m:r>
      </m:oMath>
      <w:r>
        <w:rPr>
          <w:szCs w:val="21"/>
        </w:rPr>
        <w:t>——提取液稀释因子</w:t>
      </w:r>
      <w:r>
        <w:rPr>
          <w:rFonts w:hint="eastAsia"/>
          <w:szCs w:val="21"/>
        </w:rPr>
        <w:t>，</w:t>
      </w:r>
      <w:r>
        <w:rPr>
          <w:szCs w:val="21"/>
        </w:rPr>
        <w:t>2</w:t>
      </w:r>
      <w:r>
        <w:rPr>
          <w:rFonts w:hint="eastAsia"/>
          <w:szCs w:val="21"/>
        </w:rPr>
        <w:t>；</w:t>
      </w:r>
    </w:p>
    <w:p>
      <w:pPr>
        <w:pStyle w:val="41"/>
        <w:spacing w:line="400" w:lineRule="atLeast"/>
        <w:rPr>
          <w:rFonts w:ascii="Times New Roman"/>
          <w:szCs w:val="21"/>
        </w:rPr>
      </w:pPr>
      <m:oMath>
        <m:r>
          <m:rPr/>
          <w:rPr>
            <w:rFonts w:ascii="Cambria Math" w:hAnsi="Cambria Math"/>
            <w:szCs w:val="21"/>
          </w:rPr>
          <m:t>m</m:t>
        </m:r>
      </m:oMath>
      <w:r>
        <w:rPr>
          <w:rFonts w:ascii="Times New Roman"/>
          <w:szCs w:val="21"/>
        </w:rPr>
        <w:t>——样品质量</w:t>
      </w:r>
      <w:bookmarkStart w:id="40" w:name="_Hlk42260715"/>
      <w:bookmarkStart w:id="41" w:name="_Toc39150144"/>
      <w:r>
        <w:rPr>
          <w:rFonts w:hint="eastAsia" w:ascii="Times New Roman"/>
          <w:szCs w:val="21"/>
        </w:rPr>
        <w:t>，单位为克（g）。</w:t>
      </w:r>
    </w:p>
    <w:p>
      <w:pPr>
        <w:pStyle w:val="41"/>
        <w:spacing w:line="400" w:lineRule="atLeast"/>
        <w:rPr>
          <w:rFonts w:ascii="Times New Roman"/>
          <w:szCs w:val="21"/>
        </w:rPr>
      </w:pPr>
      <w:r>
        <w:rPr>
          <w:rFonts w:hint="eastAsia" w:ascii="Times New Roman"/>
          <w:szCs w:val="21"/>
        </w:rPr>
        <w:t>计算结果以重复性条件下获得的2次独立测定结果的算数平均值表示，保留至小数点后</w:t>
      </w:r>
      <w:r>
        <w:rPr>
          <w:rFonts w:ascii="Times New Roman"/>
          <w:szCs w:val="21"/>
        </w:rPr>
        <w:t>2</w:t>
      </w:r>
      <w:r>
        <w:rPr>
          <w:rFonts w:hint="eastAsia" w:ascii="Times New Roman"/>
          <w:szCs w:val="21"/>
        </w:rPr>
        <w:t>位。</w:t>
      </w:r>
    </w:p>
    <w:bookmarkEnd w:id="33"/>
    <w:p>
      <w:pPr>
        <w:pStyle w:val="68"/>
        <w:spacing w:line="400" w:lineRule="atLeast"/>
        <w:rPr>
          <w:rFonts w:ascii="Times New Roman"/>
          <w:szCs w:val="21"/>
        </w:rPr>
      </w:pPr>
      <w:r>
        <w:rPr>
          <w:rFonts w:hint="eastAsia" w:ascii="Times New Roman"/>
          <w:szCs w:val="21"/>
        </w:rPr>
        <w:t>检测方法灵敏度、准确度、精密度</w:t>
      </w:r>
    </w:p>
    <w:p>
      <w:pPr>
        <w:pStyle w:val="143"/>
        <w:numPr>
          <w:ilvl w:val="1"/>
          <w:numId w:val="3"/>
        </w:numPr>
        <w:spacing w:line="360" w:lineRule="auto"/>
        <w:ind w:firstLineChars="0"/>
        <w:outlineLvl w:val="2"/>
        <w:rPr>
          <w:rFonts w:ascii="黑体" w:hAnsi="黑体" w:eastAsia="黑体"/>
          <w:szCs w:val="21"/>
        </w:rPr>
      </w:pPr>
      <w:bookmarkStart w:id="42" w:name="_Toc47404342"/>
      <w:bookmarkStart w:id="43" w:name="_Toc44412975"/>
      <w:bookmarkStart w:id="44" w:name="_Toc44411918"/>
      <w:bookmarkStart w:id="45" w:name="_Toc527789986"/>
      <w:bookmarkStart w:id="46" w:name="_Toc527722294"/>
      <w:bookmarkStart w:id="47" w:name="_Toc508697291"/>
      <w:bookmarkStart w:id="48" w:name="_Toc508696990"/>
      <w:bookmarkStart w:id="49" w:name="_Toc154484414"/>
      <w:bookmarkStart w:id="50" w:name="_Toc72663735"/>
      <w:r>
        <w:rPr>
          <w:rFonts w:ascii="黑体" w:hAnsi="黑体" w:eastAsia="黑体"/>
          <w:szCs w:val="21"/>
        </w:rPr>
        <w:t>灵敏度</w:t>
      </w:r>
      <w:bookmarkEnd w:id="42"/>
      <w:bookmarkEnd w:id="43"/>
      <w:bookmarkEnd w:id="44"/>
      <w:bookmarkEnd w:id="45"/>
      <w:bookmarkEnd w:id="46"/>
      <w:bookmarkEnd w:id="47"/>
      <w:bookmarkEnd w:id="48"/>
      <w:bookmarkEnd w:id="49"/>
      <w:bookmarkEnd w:id="50"/>
    </w:p>
    <w:p>
      <w:pPr>
        <w:pStyle w:val="41"/>
        <w:spacing w:line="400" w:lineRule="atLeast"/>
        <w:rPr>
          <w:rFonts w:ascii="Times New Roman"/>
          <w:szCs w:val="21"/>
        </w:rPr>
      </w:pPr>
      <w:bookmarkStart w:id="51" w:name="_Toc22377072"/>
      <w:r>
        <w:rPr>
          <w:rFonts w:hint="eastAsia" w:ascii="Times New Roman"/>
          <w:szCs w:val="21"/>
        </w:rPr>
        <w:t>本方法测定的6种真菌毒素在大米、玉米、小麦中的定量限</w:t>
      </w:r>
      <w:bookmarkStart w:id="52" w:name="_Toc44412976"/>
      <w:bookmarkStart w:id="53" w:name="_Toc154484415"/>
      <w:bookmarkStart w:id="54" w:name="_Toc47404343"/>
      <w:bookmarkStart w:id="55" w:name="_Toc72663736"/>
      <w:bookmarkStart w:id="56" w:name="_Toc44411919"/>
      <w:bookmarkStart w:id="57" w:name="_Toc508697292"/>
      <w:bookmarkStart w:id="58" w:name="_Toc508696991"/>
      <w:r>
        <w:rPr>
          <w:rFonts w:hint="eastAsia" w:ascii="Times New Roman"/>
          <w:szCs w:val="21"/>
        </w:rPr>
        <w:t>范围为</w:t>
      </w:r>
      <w:r>
        <w:rPr>
          <w:rFonts w:ascii="Times New Roman" w:hAnsi="Times New Roman" w:cs="Times New Roman"/>
          <w:szCs w:val="21"/>
        </w:rPr>
        <w:t xml:space="preserve">2 </w:t>
      </w:r>
      <w:bookmarkStart w:id="59" w:name="_Hlk84615212"/>
      <w:r>
        <w:rPr>
          <w:rFonts w:ascii="Times New Roman" w:hAnsi="Times New Roman" w:cs="Times New Roman"/>
          <w:szCs w:val="21"/>
        </w:rPr>
        <w:t>μg/kg~100 μg/kg</w:t>
      </w:r>
      <w:bookmarkEnd w:id="59"/>
      <w:r>
        <w:rPr>
          <w:rFonts w:hint="eastAsia" w:ascii="Times New Roman"/>
          <w:szCs w:val="21"/>
        </w:rPr>
        <w:t>，在饲料中的定量限范围为</w:t>
      </w:r>
      <w:r>
        <w:rPr>
          <w:rFonts w:ascii="Times New Roman" w:hAnsi="Times New Roman" w:cs="Times New Roman"/>
          <w:szCs w:val="21"/>
        </w:rPr>
        <w:t>3 μg/kg~100 μg/kg</w:t>
      </w:r>
      <w:r>
        <w:rPr>
          <w:rFonts w:hint="eastAsia" w:ascii="Times New Roman"/>
          <w:szCs w:val="21"/>
        </w:rPr>
        <w:t>，详见附录A。</w:t>
      </w:r>
    </w:p>
    <w:bookmarkEnd w:id="52"/>
    <w:bookmarkEnd w:id="53"/>
    <w:bookmarkEnd w:id="54"/>
    <w:bookmarkEnd w:id="55"/>
    <w:bookmarkEnd w:id="56"/>
    <w:bookmarkEnd w:id="57"/>
    <w:bookmarkEnd w:id="58"/>
    <w:p>
      <w:pPr>
        <w:pStyle w:val="143"/>
        <w:numPr>
          <w:ilvl w:val="1"/>
          <w:numId w:val="3"/>
        </w:numPr>
        <w:spacing w:line="360" w:lineRule="auto"/>
        <w:ind w:firstLineChars="0"/>
        <w:outlineLvl w:val="2"/>
        <w:rPr>
          <w:rFonts w:ascii="黑体" w:hAnsi="黑体" w:eastAsia="黑体"/>
          <w:szCs w:val="21"/>
        </w:rPr>
      </w:pPr>
      <w:r>
        <w:rPr>
          <w:rFonts w:hint="eastAsia" w:ascii="黑体" w:hAnsi="黑体" w:eastAsia="黑体"/>
          <w:szCs w:val="21"/>
        </w:rPr>
        <w:t>回收率</w:t>
      </w:r>
    </w:p>
    <w:bookmarkEnd w:id="51"/>
    <w:p>
      <w:pPr>
        <w:pStyle w:val="41"/>
        <w:spacing w:line="360" w:lineRule="auto"/>
        <w:rPr>
          <w:rFonts w:ascii="Times New Roman"/>
          <w:szCs w:val="21"/>
        </w:rPr>
      </w:pPr>
      <w:bookmarkStart w:id="60" w:name="_Hlk53991964"/>
      <w:bookmarkStart w:id="61" w:name="_Toc22377073"/>
      <w:r>
        <w:rPr>
          <w:rFonts w:hint="eastAsia" w:ascii="Times New Roman"/>
          <w:szCs w:val="21"/>
        </w:rPr>
        <w:t>青霉酸、桔青霉素、霉酚酸、异烟棒曲霉素C、赭曲霉毒素A、黄绿青霉素在定量限的1，2和10倍添加浓度水平下，回收率范围为60%~120%。</w:t>
      </w:r>
    </w:p>
    <w:bookmarkEnd w:id="60"/>
    <w:p>
      <w:pPr>
        <w:pStyle w:val="143"/>
        <w:numPr>
          <w:ilvl w:val="1"/>
          <w:numId w:val="3"/>
        </w:numPr>
        <w:spacing w:line="360" w:lineRule="auto"/>
        <w:ind w:firstLineChars="0"/>
        <w:outlineLvl w:val="2"/>
        <w:rPr>
          <w:rFonts w:ascii="黑体" w:hAnsi="黑体" w:eastAsia="黑体"/>
          <w:szCs w:val="21"/>
        </w:rPr>
      </w:pPr>
      <w:bookmarkStart w:id="62" w:name="_Toc47404344"/>
      <w:bookmarkStart w:id="63" w:name="_Toc72663737"/>
      <w:bookmarkStart w:id="64" w:name="_Toc154484416"/>
      <w:bookmarkStart w:id="65" w:name="_Toc508696992"/>
      <w:bookmarkStart w:id="66" w:name="_Toc44412977"/>
      <w:bookmarkStart w:id="67" w:name="_Toc44411920"/>
      <w:bookmarkStart w:id="68" w:name="_Toc508697293"/>
      <w:r>
        <w:rPr>
          <w:rFonts w:hint="eastAsia" w:ascii="黑体" w:hAnsi="黑体" w:eastAsia="黑体"/>
          <w:szCs w:val="21"/>
        </w:rPr>
        <w:t>精密度</w:t>
      </w:r>
      <w:bookmarkEnd w:id="61"/>
      <w:bookmarkEnd w:id="62"/>
      <w:bookmarkEnd w:id="63"/>
      <w:bookmarkEnd w:id="64"/>
      <w:bookmarkEnd w:id="65"/>
      <w:bookmarkEnd w:id="66"/>
      <w:bookmarkEnd w:id="67"/>
      <w:bookmarkEnd w:id="68"/>
    </w:p>
    <w:p>
      <w:pPr>
        <w:pStyle w:val="41"/>
        <w:spacing w:line="400" w:lineRule="atLeast"/>
        <w:rPr>
          <w:rFonts w:ascii="Times New Roman"/>
          <w:szCs w:val="21"/>
        </w:rPr>
      </w:pPr>
      <w:r>
        <w:rPr>
          <w:rFonts w:ascii="Times New Roman"/>
          <w:color w:val="000000"/>
          <w:szCs w:val="21"/>
        </w:rPr>
        <w:t>在重复性条件下获得的6次独立测定结果与算术平均值的绝对差值不得超过该平均值的30%，相对标准偏差不得超过15%。</w:t>
      </w:r>
    </w:p>
    <w:p>
      <w:pPr>
        <w:pStyle w:val="41"/>
        <w:spacing w:line="400" w:lineRule="atLeast"/>
        <w:rPr>
          <w:rFonts w:ascii="Times New Roman"/>
          <w:szCs w:val="21"/>
        </w:rPr>
      </w:pPr>
    </w:p>
    <w:bookmarkEnd w:id="40"/>
    <w:bookmarkEnd w:id="41"/>
    <w:p>
      <w:pPr>
        <w:sectPr>
          <w:pgSz w:w="11906" w:h="16838"/>
          <w:pgMar w:top="567" w:right="1134" w:bottom="1134" w:left="1418" w:header="1418" w:footer="1134" w:gutter="0"/>
          <w:pgNumType w:start="1"/>
          <w:cols w:space="720" w:num="1"/>
          <w:formProt w:val="0"/>
          <w:docGrid w:type="lines" w:linePitch="312" w:charSpace="0"/>
        </w:sectPr>
      </w:pPr>
    </w:p>
    <w:p>
      <w:pPr>
        <w:pStyle w:val="28"/>
        <w:rPr>
          <w:rFonts w:ascii="黑体" w:hAnsi="黑体" w:eastAsia="黑体"/>
          <w:sz w:val="21"/>
          <w:szCs w:val="21"/>
        </w:rPr>
      </w:pPr>
      <w:r>
        <w:rPr>
          <w:rFonts w:hint="eastAsia" w:ascii="黑体" w:hAnsi="黑体" w:eastAsia="黑体"/>
          <w:sz w:val="21"/>
          <w:szCs w:val="21"/>
        </w:rPr>
        <w:t xml:space="preserve">附 </w:t>
      </w:r>
      <w:r>
        <w:rPr>
          <w:rFonts w:ascii="黑体" w:hAnsi="黑体" w:eastAsia="黑体"/>
          <w:sz w:val="21"/>
          <w:szCs w:val="21"/>
        </w:rPr>
        <w:t xml:space="preserve"> </w:t>
      </w:r>
      <w:r>
        <w:rPr>
          <w:rFonts w:hint="eastAsia" w:ascii="黑体" w:hAnsi="黑体" w:eastAsia="黑体"/>
          <w:sz w:val="21"/>
          <w:szCs w:val="21"/>
        </w:rPr>
        <w:t xml:space="preserve">录 </w:t>
      </w:r>
      <w:r>
        <w:rPr>
          <w:rFonts w:ascii="黑体" w:hAnsi="黑体" w:eastAsia="黑体"/>
          <w:sz w:val="21"/>
          <w:szCs w:val="21"/>
        </w:rPr>
        <w:t xml:space="preserve"> </w:t>
      </w:r>
      <w:r>
        <w:rPr>
          <w:rFonts w:hint="eastAsia" w:ascii="黑体" w:hAnsi="黑体" w:eastAsia="黑体"/>
          <w:sz w:val="21"/>
          <w:szCs w:val="21"/>
        </w:rPr>
        <w:t>A</w:t>
      </w:r>
    </w:p>
    <w:p>
      <w:pPr>
        <w:jc w:val="center"/>
        <w:rPr>
          <w:rFonts w:ascii="黑体" w:hAnsi="黑体" w:eastAsia="黑体"/>
          <w:b/>
          <w:bCs/>
        </w:rPr>
      </w:pPr>
      <w:r>
        <w:rPr>
          <w:rFonts w:hint="eastAsia" w:ascii="黑体" w:hAnsi="黑体" w:eastAsia="黑体"/>
          <w:b/>
          <w:bCs/>
        </w:rPr>
        <w:t>（规范性附录）</w:t>
      </w:r>
    </w:p>
    <w:p>
      <w:pPr>
        <w:jc w:val="center"/>
        <w:rPr>
          <w:rFonts w:ascii="黑体" w:hAnsi="黑体" w:eastAsia="黑体"/>
          <w:b/>
          <w:bCs/>
        </w:rPr>
      </w:pPr>
      <w:r>
        <w:rPr>
          <w:rFonts w:hint="eastAsia" w:ascii="黑体" w:hAnsi="黑体" w:eastAsia="黑体"/>
          <w:b/>
          <w:bCs/>
        </w:rPr>
        <w:t>六种真菌毒素的方法检测限和定量限</w:t>
      </w:r>
    </w:p>
    <w:p>
      <w:pPr>
        <w:ind w:firstLine="420" w:firstLineChars="200"/>
        <w:jc w:val="center"/>
      </w:pPr>
      <w:bookmarkStart w:id="69" w:name="_Hlk84699005"/>
      <w:r>
        <w:rPr>
          <w:rFonts w:hint="eastAsia"/>
        </w:rPr>
        <w:t>表A.</w:t>
      </w:r>
      <w:r>
        <w:t xml:space="preserve">1 </w:t>
      </w:r>
      <w:r>
        <w:rPr>
          <w:rFonts w:hint="eastAsia"/>
        </w:rPr>
        <w:t>大米、玉米、小麦基质中六种真菌毒素的方法检出限和定量限</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105"/>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131" w:type="dxa"/>
            <w:shd w:val="clear" w:color="auto" w:fill="auto"/>
          </w:tcPr>
          <w:p>
            <w:pPr>
              <w:rPr>
                <w:szCs w:val="21"/>
              </w:rPr>
            </w:pPr>
            <w:bookmarkStart w:id="70" w:name="_Hlk84695608"/>
            <w:r>
              <w:rPr>
                <w:szCs w:val="21"/>
              </w:rPr>
              <w:t>毒素名称</w:t>
            </w:r>
          </w:p>
        </w:tc>
        <w:tc>
          <w:tcPr>
            <w:tcW w:w="2105" w:type="dxa"/>
            <w:shd w:val="clear" w:color="auto" w:fill="auto"/>
          </w:tcPr>
          <w:p>
            <w:pPr>
              <w:rPr>
                <w:szCs w:val="21"/>
              </w:rPr>
            </w:pPr>
            <w:r>
              <w:rPr>
                <w:szCs w:val="21"/>
              </w:rPr>
              <w:t>检</w:t>
            </w:r>
            <w:r>
              <w:rPr>
                <w:rFonts w:hint="eastAsia"/>
                <w:szCs w:val="21"/>
              </w:rPr>
              <w:t>测</w:t>
            </w:r>
            <w:r>
              <w:rPr>
                <w:szCs w:val="21"/>
              </w:rPr>
              <w:t>限（μg/kg）</w:t>
            </w:r>
          </w:p>
        </w:tc>
        <w:tc>
          <w:tcPr>
            <w:tcW w:w="1843" w:type="dxa"/>
            <w:shd w:val="clear" w:color="auto" w:fill="auto"/>
          </w:tcPr>
          <w:p>
            <w:pPr>
              <w:rPr>
                <w:szCs w:val="21"/>
              </w:rPr>
            </w:pPr>
            <w:r>
              <w:rPr>
                <w:szCs w:val="21"/>
              </w:rPr>
              <w:t>定量限</w:t>
            </w:r>
            <w:r>
              <w:rPr>
                <w:rFonts w:hint="eastAsia"/>
                <w:szCs w:val="21"/>
              </w:rPr>
              <w:t>（</w:t>
            </w:r>
            <w:r>
              <w:rPr>
                <w:szCs w:val="21"/>
              </w:rPr>
              <w:t>μg/kg</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青霉酸</w:t>
            </w:r>
          </w:p>
        </w:tc>
        <w:tc>
          <w:tcPr>
            <w:tcW w:w="2105" w:type="dxa"/>
            <w:shd w:val="clear" w:color="auto" w:fill="auto"/>
          </w:tcPr>
          <w:p>
            <w:pPr>
              <w:rPr>
                <w:szCs w:val="21"/>
              </w:rPr>
            </w:pPr>
            <w:r>
              <w:rPr>
                <w:rFonts w:hint="eastAsia"/>
                <w:szCs w:val="21"/>
              </w:rPr>
              <w:t>1</w:t>
            </w:r>
            <w:r>
              <w:rPr>
                <w:szCs w:val="21"/>
              </w:rPr>
              <w:t>0.0</w:t>
            </w:r>
          </w:p>
        </w:tc>
        <w:tc>
          <w:tcPr>
            <w:tcW w:w="1843" w:type="dxa"/>
            <w:shd w:val="clear" w:color="auto" w:fill="auto"/>
          </w:tcPr>
          <w:p>
            <w:pPr>
              <w:rPr>
                <w:szCs w:val="21"/>
              </w:rPr>
            </w:pPr>
            <w:r>
              <w:rPr>
                <w:rFonts w:hint="eastAsia"/>
                <w:szCs w:val="21"/>
              </w:rPr>
              <w:t>3</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桔青霉素</w:t>
            </w:r>
          </w:p>
        </w:tc>
        <w:tc>
          <w:tcPr>
            <w:tcW w:w="2105" w:type="dxa"/>
            <w:shd w:val="clear" w:color="auto" w:fill="auto"/>
          </w:tcPr>
          <w:p>
            <w:pPr>
              <w:rPr>
                <w:szCs w:val="21"/>
              </w:rPr>
            </w:pPr>
            <w:r>
              <w:rPr>
                <w:rFonts w:hint="eastAsia"/>
                <w:szCs w:val="21"/>
              </w:rPr>
              <w:t>3</w:t>
            </w:r>
            <w:r>
              <w:rPr>
                <w:szCs w:val="21"/>
              </w:rPr>
              <w:t>0.0</w:t>
            </w:r>
          </w:p>
        </w:tc>
        <w:tc>
          <w:tcPr>
            <w:tcW w:w="1843" w:type="dxa"/>
            <w:shd w:val="clear" w:color="auto" w:fill="auto"/>
          </w:tcPr>
          <w:p>
            <w:pPr>
              <w:rPr>
                <w:szCs w:val="21"/>
              </w:rPr>
            </w:pPr>
            <w:r>
              <w:rPr>
                <w:rFonts w:hint="eastAsia"/>
                <w:szCs w:val="21"/>
              </w:rPr>
              <w:t>1</w:t>
            </w:r>
            <w:r>
              <w:rPr>
                <w:szCs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霉酚酸</w:t>
            </w:r>
          </w:p>
        </w:tc>
        <w:tc>
          <w:tcPr>
            <w:tcW w:w="2105" w:type="dxa"/>
            <w:shd w:val="clear" w:color="auto" w:fill="auto"/>
          </w:tcPr>
          <w:p>
            <w:pPr>
              <w:rPr>
                <w:szCs w:val="21"/>
              </w:rPr>
            </w:pPr>
            <w:r>
              <w:rPr>
                <w:rFonts w:hint="eastAsia"/>
                <w:szCs w:val="21"/>
              </w:rPr>
              <w:t>1</w:t>
            </w:r>
            <w:r>
              <w:rPr>
                <w:szCs w:val="21"/>
              </w:rPr>
              <w:t>0.0</w:t>
            </w:r>
          </w:p>
        </w:tc>
        <w:tc>
          <w:tcPr>
            <w:tcW w:w="1843" w:type="dxa"/>
            <w:shd w:val="clear" w:color="auto" w:fill="auto"/>
          </w:tcPr>
          <w:p>
            <w:pPr>
              <w:rPr>
                <w:szCs w:val="21"/>
              </w:rPr>
            </w:pPr>
            <w:r>
              <w:rPr>
                <w:rFonts w:hint="eastAsia"/>
                <w:szCs w:val="21"/>
              </w:rPr>
              <w:t>3</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异烟棒曲霉素C</w:t>
            </w:r>
          </w:p>
        </w:tc>
        <w:tc>
          <w:tcPr>
            <w:tcW w:w="2105" w:type="dxa"/>
            <w:shd w:val="clear" w:color="auto" w:fill="auto"/>
          </w:tcPr>
          <w:p>
            <w:pPr>
              <w:rPr>
                <w:szCs w:val="21"/>
              </w:rPr>
            </w:pPr>
            <w:r>
              <w:rPr>
                <w:rFonts w:hint="eastAsia"/>
                <w:szCs w:val="21"/>
              </w:rPr>
              <w:t>3</w:t>
            </w:r>
            <w:r>
              <w:rPr>
                <w:szCs w:val="21"/>
              </w:rPr>
              <w:t>.0</w:t>
            </w:r>
          </w:p>
        </w:tc>
        <w:tc>
          <w:tcPr>
            <w:tcW w:w="1843" w:type="dxa"/>
            <w:shd w:val="clear" w:color="auto" w:fill="auto"/>
          </w:tcPr>
          <w:p>
            <w:pPr>
              <w:rPr>
                <w:szCs w:val="21"/>
              </w:rPr>
            </w:pPr>
            <w:r>
              <w:rPr>
                <w:rFonts w:hint="eastAsia"/>
                <w:szCs w:val="21"/>
              </w:rPr>
              <w:t>1</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赭曲霉毒素A</w:t>
            </w:r>
          </w:p>
        </w:tc>
        <w:tc>
          <w:tcPr>
            <w:tcW w:w="2105" w:type="dxa"/>
            <w:shd w:val="clear" w:color="auto" w:fill="auto"/>
          </w:tcPr>
          <w:p>
            <w:pPr>
              <w:rPr>
                <w:szCs w:val="21"/>
              </w:rPr>
            </w:pPr>
            <w:r>
              <w:rPr>
                <w:szCs w:val="21"/>
              </w:rPr>
              <w:t>0.6</w:t>
            </w:r>
          </w:p>
        </w:tc>
        <w:tc>
          <w:tcPr>
            <w:tcW w:w="1843" w:type="dxa"/>
            <w:shd w:val="clear" w:color="auto" w:fill="auto"/>
          </w:tcPr>
          <w:p>
            <w:pPr>
              <w:rPr>
                <w:szCs w:val="21"/>
              </w:rPr>
            </w:pPr>
            <w:r>
              <w:rPr>
                <w:rFonts w:hint="eastAsia"/>
                <w:szCs w:val="21"/>
              </w:rPr>
              <w:t>2</w:t>
            </w:r>
            <w:r>
              <w:rPr>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黄绿青霉素</w:t>
            </w:r>
          </w:p>
        </w:tc>
        <w:tc>
          <w:tcPr>
            <w:tcW w:w="2105" w:type="dxa"/>
            <w:shd w:val="clear" w:color="auto" w:fill="auto"/>
          </w:tcPr>
          <w:p>
            <w:pPr>
              <w:rPr>
                <w:szCs w:val="21"/>
              </w:rPr>
            </w:pPr>
            <w:r>
              <w:rPr>
                <w:rFonts w:hint="eastAsia"/>
                <w:szCs w:val="21"/>
              </w:rPr>
              <w:t>1</w:t>
            </w:r>
            <w:r>
              <w:rPr>
                <w:szCs w:val="21"/>
              </w:rPr>
              <w:t>2.0</w:t>
            </w:r>
          </w:p>
        </w:tc>
        <w:tc>
          <w:tcPr>
            <w:tcW w:w="1843" w:type="dxa"/>
            <w:shd w:val="clear" w:color="auto" w:fill="auto"/>
          </w:tcPr>
          <w:p>
            <w:pPr>
              <w:rPr>
                <w:szCs w:val="21"/>
              </w:rPr>
            </w:pPr>
            <w:r>
              <w:rPr>
                <w:rFonts w:hint="eastAsia"/>
                <w:szCs w:val="21"/>
              </w:rPr>
              <w:t>4</w:t>
            </w:r>
            <w:r>
              <w:rPr>
                <w:szCs w:val="21"/>
              </w:rPr>
              <w:t>0.0</w:t>
            </w:r>
          </w:p>
        </w:tc>
      </w:tr>
      <w:bookmarkEnd w:id="69"/>
      <w:bookmarkEnd w:id="70"/>
    </w:tbl>
    <w:p>
      <w:pPr>
        <w:ind w:firstLine="420" w:firstLineChars="200"/>
        <w:jc w:val="center"/>
      </w:pPr>
      <w:bookmarkStart w:id="71" w:name="_Hlk84699152"/>
      <w:r>
        <w:t>表</w:t>
      </w:r>
      <w:r>
        <w:rPr>
          <w:rFonts w:hint="eastAsia"/>
        </w:rPr>
        <w:t>A</w:t>
      </w:r>
      <w:r>
        <w:t>.2 饲料基质中</w:t>
      </w:r>
      <w:r>
        <w:rPr>
          <w:rFonts w:hint="eastAsia"/>
        </w:rPr>
        <w:t>六</w:t>
      </w:r>
      <w:r>
        <w:t>种真菌毒素的方法检测限和定量限</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105"/>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131" w:type="dxa"/>
            <w:shd w:val="clear" w:color="auto" w:fill="auto"/>
          </w:tcPr>
          <w:p>
            <w:pPr>
              <w:rPr>
                <w:szCs w:val="21"/>
              </w:rPr>
            </w:pPr>
            <w:r>
              <w:rPr>
                <w:szCs w:val="21"/>
              </w:rPr>
              <w:t>毒素名称</w:t>
            </w:r>
          </w:p>
        </w:tc>
        <w:tc>
          <w:tcPr>
            <w:tcW w:w="2105" w:type="dxa"/>
            <w:shd w:val="clear" w:color="auto" w:fill="auto"/>
          </w:tcPr>
          <w:p>
            <w:pPr>
              <w:rPr>
                <w:szCs w:val="21"/>
              </w:rPr>
            </w:pPr>
            <w:r>
              <w:rPr>
                <w:szCs w:val="21"/>
              </w:rPr>
              <w:t>检</w:t>
            </w:r>
            <w:r>
              <w:rPr>
                <w:rFonts w:hint="eastAsia"/>
                <w:szCs w:val="21"/>
              </w:rPr>
              <w:t>测</w:t>
            </w:r>
            <w:r>
              <w:rPr>
                <w:szCs w:val="21"/>
              </w:rPr>
              <w:t>限（μg/kg）</w:t>
            </w:r>
          </w:p>
        </w:tc>
        <w:tc>
          <w:tcPr>
            <w:tcW w:w="1843" w:type="dxa"/>
            <w:shd w:val="clear" w:color="auto" w:fill="auto"/>
          </w:tcPr>
          <w:p>
            <w:pPr>
              <w:rPr>
                <w:szCs w:val="21"/>
              </w:rPr>
            </w:pPr>
            <w:r>
              <w:rPr>
                <w:szCs w:val="21"/>
              </w:rPr>
              <w:t>定量限</w:t>
            </w:r>
            <w:r>
              <w:rPr>
                <w:rFonts w:hint="eastAsia"/>
                <w:szCs w:val="21"/>
              </w:rPr>
              <w:t>（</w:t>
            </w:r>
            <w:r>
              <w:rPr>
                <w:szCs w:val="21"/>
              </w:rPr>
              <w:t>μg/kg</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青霉酸</w:t>
            </w:r>
          </w:p>
        </w:tc>
        <w:tc>
          <w:tcPr>
            <w:tcW w:w="2105" w:type="dxa"/>
            <w:shd w:val="clear" w:color="auto" w:fill="auto"/>
          </w:tcPr>
          <w:p>
            <w:pPr>
              <w:rPr>
                <w:szCs w:val="21"/>
              </w:rPr>
            </w:pPr>
            <w:r>
              <w:rPr>
                <w:rFonts w:hint="eastAsia"/>
                <w:szCs w:val="21"/>
              </w:rPr>
              <w:t>1</w:t>
            </w:r>
            <w:r>
              <w:rPr>
                <w:szCs w:val="21"/>
              </w:rPr>
              <w:t>0.0</w:t>
            </w:r>
          </w:p>
        </w:tc>
        <w:tc>
          <w:tcPr>
            <w:tcW w:w="1843" w:type="dxa"/>
            <w:shd w:val="clear" w:color="auto" w:fill="auto"/>
          </w:tcPr>
          <w:p>
            <w:pPr>
              <w:rPr>
                <w:szCs w:val="21"/>
              </w:rPr>
            </w:pPr>
            <w:r>
              <w:rPr>
                <w:rFonts w:hint="eastAsia"/>
                <w:szCs w:val="21"/>
              </w:rPr>
              <w:t>3</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桔青霉素</w:t>
            </w:r>
          </w:p>
        </w:tc>
        <w:tc>
          <w:tcPr>
            <w:tcW w:w="2105" w:type="dxa"/>
            <w:shd w:val="clear" w:color="auto" w:fill="auto"/>
          </w:tcPr>
          <w:p>
            <w:pPr>
              <w:rPr>
                <w:szCs w:val="21"/>
              </w:rPr>
            </w:pPr>
            <w:r>
              <w:rPr>
                <w:rFonts w:hint="eastAsia"/>
                <w:szCs w:val="21"/>
              </w:rPr>
              <w:t>3</w:t>
            </w:r>
            <w:r>
              <w:rPr>
                <w:szCs w:val="21"/>
              </w:rPr>
              <w:t>0.0</w:t>
            </w:r>
          </w:p>
        </w:tc>
        <w:tc>
          <w:tcPr>
            <w:tcW w:w="1843" w:type="dxa"/>
            <w:shd w:val="clear" w:color="auto" w:fill="auto"/>
          </w:tcPr>
          <w:p>
            <w:pPr>
              <w:rPr>
                <w:szCs w:val="21"/>
              </w:rPr>
            </w:pPr>
            <w:r>
              <w:rPr>
                <w:rFonts w:hint="eastAsia"/>
                <w:szCs w:val="21"/>
              </w:rPr>
              <w:t>1</w:t>
            </w:r>
            <w:r>
              <w:rPr>
                <w:szCs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霉酚酸</w:t>
            </w:r>
          </w:p>
        </w:tc>
        <w:tc>
          <w:tcPr>
            <w:tcW w:w="2105" w:type="dxa"/>
            <w:shd w:val="clear" w:color="auto" w:fill="auto"/>
          </w:tcPr>
          <w:p>
            <w:pPr>
              <w:rPr>
                <w:szCs w:val="21"/>
              </w:rPr>
            </w:pPr>
            <w:r>
              <w:rPr>
                <w:rFonts w:hint="eastAsia"/>
                <w:szCs w:val="21"/>
              </w:rPr>
              <w:t>1</w:t>
            </w:r>
            <w:r>
              <w:rPr>
                <w:szCs w:val="21"/>
              </w:rPr>
              <w:t>0.0</w:t>
            </w:r>
          </w:p>
        </w:tc>
        <w:tc>
          <w:tcPr>
            <w:tcW w:w="1843" w:type="dxa"/>
            <w:shd w:val="clear" w:color="auto" w:fill="auto"/>
          </w:tcPr>
          <w:p>
            <w:pPr>
              <w:rPr>
                <w:szCs w:val="21"/>
              </w:rPr>
            </w:pPr>
            <w:r>
              <w:rPr>
                <w:rFonts w:hint="eastAsia"/>
                <w:szCs w:val="21"/>
              </w:rPr>
              <w:t>3</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异烟棒曲霉素C</w:t>
            </w:r>
          </w:p>
        </w:tc>
        <w:tc>
          <w:tcPr>
            <w:tcW w:w="2105" w:type="dxa"/>
            <w:shd w:val="clear" w:color="auto" w:fill="auto"/>
          </w:tcPr>
          <w:p>
            <w:pPr>
              <w:rPr>
                <w:szCs w:val="21"/>
              </w:rPr>
            </w:pPr>
            <w:r>
              <w:rPr>
                <w:rFonts w:hint="eastAsia"/>
                <w:szCs w:val="21"/>
              </w:rPr>
              <w:t>3</w:t>
            </w:r>
            <w:r>
              <w:rPr>
                <w:szCs w:val="21"/>
              </w:rPr>
              <w:t>.0</w:t>
            </w:r>
          </w:p>
        </w:tc>
        <w:tc>
          <w:tcPr>
            <w:tcW w:w="1843" w:type="dxa"/>
            <w:shd w:val="clear" w:color="auto" w:fill="auto"/>
          </w:tcPr>
          <w:p>
            <w:pPr>
              <w:rPr>
                <w:szCs w:val="21"/>
              </w:rPr>
            </w:pPr>
            <w:r>
              <w:rPr>
                <w:rFonts w:hint="eastAsia"/>
                <w:szCs w:val="21"/>
              </w:rPr>
              <w:t>1</w:t>
            </w:r>
            <w:r>
              <w:rPr>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赭曲霉毒素A</w:t>
            </w:r>
          </w:p>
        </w:tc>
        <w:tc>
          <w:tcPr>
            <w:tcW w:w="2105" w:type="dxa"/>
            <w:shd w:val="clear" w:color="auto" w:fill="auto"/>
          </w:tcPr>
          <w:p>
            <w:pPr>
              <w:rPr>
                <w:szCs w:val="21"/>
              </w:rPr>
            </w:pPr>
            <w:r>
              <w:rPr>
                <w:rFonts w:hint="eastAsia"/>
                <w:szCs w:val="21"/>
              </w:rPr>
              <w:t>1</w:t>
            </w:r>
            <w:r>
              <w:rPr>
                <w:szCs w:val="21"/>
              </w:rPr>
              <w:t>.0</w:t>
            </w:r>
          </w:p>
        </w:tc>
        <w:tc>
          <w:tcPr>
            <w:tcW w:w="1843" w:type="dxa"/>
            <w:shd w:val="clear" w:color="auto" w:fill="auto"/>
          </w:tcPr>
          <w:p>
            <w:pPr>
              <w:rPr>
                <w:szCs w:val="21"/>
              </w:rPr>
            </w:pPr>
            <w:r>
              <w:rPr>
                <w:rFonts w:hint="eastAsia"/>
                <w:szCs w:val="21"/>
              </w:rPr>
              <w:t>3</w:t>
            </w:r>
            <w:r>
              <w:rPr>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1" w:type="dxa"/>
            <w:shd w:val="clear" w:color="auto" w:fill="auto"/>
          </w:tcPr>
          <w:p>
            <w:pPr>
              <w:rPr>
                <w:szCs w:val="21"/>
              </w:rPr>
            </w:pPr>
            <w:r>
              <w:rPr>
                <w:szCs w:val="21"/>
              </w:rPr>
              <w:t>黄绿青霉素</w:t>
            </w:r>
          </w:p>
        </w:tc>
        <w:tc>
          <w:tcPr>
            <w:tcW w:w="2105" w:type="dxa"/>
            <w:shd w:val="clear" w:color="auto" w:fill="auto"/>
          </w:tcPr>
          <w:p>
            <w:pPr>
              <w:rPr>
                <w:szCs w:val="21"/>
              </w:rPr>
            </w:pPr>
            <w:r>
              <w:rPr>
                <w:rFonts w:hint="eastAsia"/>
                <w:szCs w:val="21"/>
              </w:rPr>
              <w:t>1</w:t>
            </w:r>
            <w:r>
              <w:rPr>
                <w:szCs w:val="21"/>
              </w:rPr>
              <w:t>2.0</w:t>
            </w:r>
          </w:p>
        </w:tc>
        <w:tc>
          <w:tcPr>
            <w:tcW w:w="1843" w:type="dxa"/>
            <w:shd w:val="clear" w:color="auto" w:fill="auto"/>
          </w:tcPr>
          <w:p>
            <w:pPr>
              <w:rPr>
                <w:szCs w:val="21"/>
              </w:rPr>
            </w:pPr>
            <w:r>
              <w:rPr>
                <w:rFonts w:hint="eastAsia"/>
                <w:szCs w:val="21"/>
              </w:rPr>
              <w:t>4</w:t>
            </w:r>
            <w:r>
              <w:rPr>
                <w:szCs w:val="21"/>
              </w:rPr>
              <w:t>0.0</w:t>
            </w:r>
          </w:p>
        </w:tc>
      </w:tr>
      <w:bookmarkEnd w:id="71"/>
    </w:tbl>
    <w:p>
      <w:pPr>
        <w:pStyle w:val="28"/>
        <w:rPr>
          <w:rFonts w:ascii="黑体" w:hAnsi="黑体" w:eastAsia="黑体"/>
          <w:sz w:val="21"/>
          <w:szCs w:val="21"/>
        </w:rPr>
      </w:pPr>
      <w:r>
        <w:rPr>
          <w:rFonts w:hint="eastAsia" w:ascii="黑体" w:hAnsi="黑体" w:eastAsia="黑体"/>
          <w:sz w:val="21"/>
          <w:szCs w:val="21"/>
        </w:rPr>
        <w:t xml:space="preserve">附 </w:t>
      </w:r>
      <w:r>
        <w:rPr>
          <w:rFonts w:ascii="黑体" w:hAnsi="黑体" w:eastAsia="黑体"/>
          <w:sz w:val="21"/>
          <w:szCs w:val="21"/>
        </w:rPr>
        <w:t xml:space="preserve"> </w:t>
      </w:r>
      <w:r>
        <w:rPr>
          <w:rFonts w:hint="eastAsia" w:ascii="黑体" w:hAnsi="黑体" w:eastAsia="黑体"/>
          <w:sz w:val="21"/>
          <w:szCs w:val="21"/>
        </w:rPr>
        <w:t xml:space="preserve">录 </w:t>
      </w:r>
      <w:r>
        <w:rPr>
          <w:rFonts w:ascii="黑体" w:hAnsi="黑体" w:eastAsia="黑体"/>
          <w:sz w:val="21"/>
          <w:szCs w:val="21"/>
        </w:rPr>
        <w:t xml:space="preserve"> B</w:t>
      </w:r>
    </w:p>
    <w:p>
      <w:pPr>
        <w:jc w:val="center"/>
        <w:rPr>
          <w:rFonts w:ascii="黑体" w:hAnsi="黑体" w:eastAsia="黑体"/>
          <w:b/>
          <w:bCs/>
          <w:szCs w:val="21"/>
        </w:rPr>
      </w:pPr>
      <w:r>
        <w:rPr>
          <w:rFonts w:hint="eastAsia" w:ascii="黑体" w:hAnsi="黑体" w:eastAsia="黑体"/>
          <w:b/>
          <w:bCs/>
          <w:szCs w:val="21"/>
        </w:rPr>
        <w:t>（规范性附录）</w:t>
      </w:r>
    </w:p>
    <w:p>
      <w:pPr>
        <w:jc w:val="center"/>
        <w:rPr>
          <w:rFonts w:ascii="黑体" w:hAnsi="黑体" w:eastAsia="黑体"/>
          <w:b/>
          <w:bCs/>
          <w:szCs w:val="21"/>
        </w:rPr>
      </w:pPr>
      <w:r>
        <w:rPr>
          <w:rFonts w:hint="eastAsia" w:ascii="黑体" w:hAnsi="黑体" w:eastAsia="黑体"/>
          <w:b/>
          <w:bCs/>
          <w:szCs w:val="21"/>
        </w:rPr>
        <w:t>真菌毒素相关信息</w:t>
      </w:r>
    </w:p>
    <w:p>
      <w:pPr>
        <w:jc w:val="center"/>
        <w:rPr>
          <w:rFonts w:ascii="黑体" w:hAnsi="黑体" w:eastAsia="黑体"/>
          <w:b/>
          <w:bCs/>
          <w:szCs w:val="21"/>
        </w:rPr>
      </w:pPr>
      <w:r>
        <w:rPr>
          <w:rFonts w:hint="eastAsia" w:ascii="黑体" w:hAnsi="黑体" w:eastAsia="黑体"/>
          <w:b/>
          <w:bCs/>
          <w:szCs w:val="21"/>
        </w:rPr>
        <w:t>表B</w:t>
      </w:r>
      <w:r>
        <w:rPr>
          <w:rFonts w:ascii="黑体" w:hAnsi="黑体" w:eastAsia="黑体"/>
          <w:b/>
          <w:bCs/>
          <w:szCs w:val="21"/>
        </w:rPr>
        <w:t xml:space="preserve">.1 </w:t>
      </w:r>
      <w:r>
        <w:rPr>
          <w:rFonts w:hint="eastAsia" w:ascii="黑体" w:hAnsi="黑体" w:eastAsia="黑体"/>
          <w:b/>
          <w:bCs/>
          <w:szCs w:val="21"/>
        </w:rPr>
        <w:t>真菌毒素的相关信息</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2035"/>
        <w:gridCol w:w="953"/>
        <w:gridCol w:w="1834"/>
        <w:gridCol w:w="1300"/>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6" w:type="pct"/>
            <w:shd w:val="clear" w:color="auto" w:fill="auto"/>
            <w:vAlign w:val="center"/>
          </w:tcPr>
          <w:p>
            <w:pPr>
              <w:jc w:val="center"/>
              <w:rPr>
                <w:rFonts w:eastAsia="黑体"/>
                <w:szCs w:val="21"/>
              </w:rPr>
            </w:pPr>
            <w:r>
              <w:rPr>
                <w:rFonts w:eastAsia="黑体"/>
                <w:szCs w:val="21"/>
              </w:rPr>
              <w:t>中文名称</w:t>
            </w:r>
          </w:p>
        </w:tc>
        <w:tc>
          <w:tcPr>
            <w:tcW w:w="1063" w:type="pct"/>
            <w:vAlign w:val="center"/>
          </w:tcPr>
          <w:p>
            <w:pPr>
              <w:jc w:val="center"/>
              <w:rPr>
                <w:rFonts w:eastAsia="黑体"/>
                <w:szCs w:val="21"/>
              </w:rPr>
            </w:pPr>
            <w:r>
              <w:rPr>
                <w:rFonts w:hint="eastAsia" w:eastAsia="黑体"/>
                <w:szCs w:val="21"/>
              </w:rPr>
              <w:t>英文名称</w:t>
            </w:r>
          </w:p>
        </w:tc>
        <w:tc>
          <w:tcPr>
            <w:tcW w:w="498" w:type="pct"/>
            <w:vAlign w:val="center"/>
          </w:tcPr>
          <w:p>
            <w:pPr>
              <w:jc w:val="center"/>
              <w:rPr>
                <w:rFonts w:eastAsia="黑体"/>
                <w:szCs w:val="21"/>
              </w:rPr>
            </w:pPr>
            <w:r>
              <w:rPr>
                <w:rFonts w:hint="eastAsia" w:eastAsia="黑体"/>
                <w:szCs w:val="21"/>
              </w:rPr>
              <w:t>简称</w:t>
            </w:r>
          </w:p>
        </w:tc>
        <w:tc>
          <w:tcPr>
            <w:tcW w:w="958" w:type="pct"/>
            <w:shd w:val="clear" w:color="auto" w:fill="auto"/>
            <w:vAlign w:val="center"/>
          </w:tcPr>
          <w:p>
            <w:pPr>
              <w:jc w:val="center"/>
              <w:rPr>
                <w:rFonts w:eastAsia="黑体"/>
                <w:szCs w:val="21"/>
              </w:rPr>
            </w:pPr>
            <w:r>
              <w:rPr>
                <w:rFonts w:eastAsia="黑体"/>
                <w:szCs w:val="21"/>
              </w:rPr>
              <w:t>分子式</w:t>
            </w:r>
          </w:p>
        </w:tc>
        <w:tc>
          <w:tcPr>
            <w:tcW w:w="679" w:type="pct"/>
            <w:shd w:val="clear" w:color="auto" w:fill="auto"/>
            <w:vAlign w:val="center"/>
          </w:tcPr>
          <w:p>
            <w:pPr>
              <w:jc w:val="center"/>
              <w:rPr>
                <w:rFonts w:eastAsia="黑体"/>
                <w:szCs w:val="21"/>
              </w:rPr>
            </w:pPr>
            <w:r>
              <w:rPr>
                <w:rFonts w:eastAsia="黑体"/>
                <w:szCs w:val="21"/>
              </w:rPr>
              <w:t>分子量</w:t>
            </w:r>
          </w:p>
        </w:tc>
        <w:tc>
          <w:tcPr>
            <w:tcW w:w="817" w:type="pct"/>
            <w:shd w:val="clear" w:color="auto" w:fill="auto"/>
            <w:vAlign w:val="center"/>
          </w:tcPr>
          <w:p>
            <w:pPr>
              <w:jc w:val="center"/>
              <w:rPr>
                <w:rFonts w:eastAsia="黑体"/>
                <w:szCs w:val="21"/>
              </w:rPr>
            </w:pPr>
            <w:r>
              <w:rPr>
                <w:rFonts w:eastAsia="黑体"/>
                <w:szCs w:val="21"/>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szCs w:val="21"/>
              </w:rPr>
              <w:t>青霉酸</w:t>
            </w:r>
          </w:p>
        </w:tc>
        <w:tc>
          <w:tcPr>
            <w:tcW w:w="1063" w:type="pct"/>
            <w:vAlign w:val="center"/>
          </w:tcPr>
          <w:p>
            <w:pPr>
              <w:jc w:val="center"/>
              <w:rPr>
                <w:rFonts w:eastAsia="等线"/>
                <w:szCs w:val="21"/>
              </w:rPr>
            </w:pPr>
            <w:r>
              <w:rPr>
                <w:rFonts w:eastAsia="等线"/>
                <w:szCs w:val="21"/>
              </w:rPr>
              <w:t>Penicillic acid</w:t>
            </w:r>
          </w:p>
        </w:tc>
        <w:tc>
          <w:tcPr>
            <w:tcW w:w="498" w:type="pct"/>
            <w:vAlign w:val="center"/>
          </w:tcPr>
          <w:p>
            <w:pPr>
              <w:jc w:val="center"/>
              <w:rPr>
                <w:rFonts w:eastAsia="等线"/>
                <w:szCs w:val="21"/>
              </w:rPr>
            </w:pPr>
            <w:r>
              <w:rPr>
                <w:rFonts w:hint="eastAsia" w:eastAsia="等线"/>
                <w:szCs w:val="21"/>
              </w:rPr>
              <w:t>P</w:t>
            </w:r>
            <w:r>
              <w:rPr>
                <w:rFonts w:eastAsia="等线"/>
                <w:szCs w:val="21"/>
              </w:rPr>
              <w:t>A</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8</w:t>
            </w:r>
            <w:r>
              <w:rPr>
                <w:rFonts w:eastAsia="等线"/>
                <w:szCs w:val="21"/>
              </w:rPr>
              <w:t>H</w:t>
            </w:r>
            <w:r>
              <w:rPr>
                <w:rFonts w:eastAsia="等线"/>
                <w:szCs w:val="21"/>
                <w:vertAlign w:val="subscript"/>
              </w:rPr>
              <w:t>10</w:t>
            </w:r>
            <w:r>
              <w:rPr>
                <w:rFonts w:eastAsia="等线"/>
                <w:szCs w:val="21"/>
              </w:rPr>
              <w:t>O</w:t>
            </w:r>
            <w:r>
              <w:rPr>
                <w:rFonts w:eastAsia="等线"/>
                <w:szCs w:val="21"/>
                <w:vertAlign w:val="subscript"/>
              </w:rPr>
              <w:t>4</w:t>
            </w:r>
          </w:p>
        </w:tc>
        <w:tc>
          <w:tcPr>
            <w:tcW w:w="679" w:type="pct"/>
            <w:shd w:val="clear" w:color="auto" w:fill="auto"/>
            <w:vAlign w:val="center"/>
          </w:tcPr>
          <w:p>
            <w:pPr>
              <w:jc w:val="center"/>
              <w:rPr>
                <w:rFonts w:eastAsia="等线"/>
                <w:szCs w:val="21"/>
              </w:rPr>
            </w:pPr>
            <w:r>
              <w:rPr>
                <w:rFonts w:eastAsia="等线"/>
                <w:szCs w:val="21"/>
              </w:rPr>
              <w:t>170.16</w:t>
            </w:r>
          </w:p>
        </w:tc>
        <w:tc>
          <w:tcPr>
            <w:tcW w:w="817" w:type="pct"/>
            <w:shd w:val="clear" w:color="auto" w:fill="auto"/>
            <w:vAlign w:val="center"/>
          </w:tcPr>
          <w:p>
            <w:pPr>
              <w:jc w:val="center"/>
              <w:rPr>
                <w:rFonts w:eastAsia="等线"/>
                <w:szCs w:val="21"/>
              </w:rPr>
            </w:pPr>
            <w:r>
              <w:rPr>
                <w:rFonts w:eastAsia="等线"/>
                <w:szCs w:val="21"/>
              </w:rPr>
              <w:t>90-65-3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szCs w:val="21"/>
              </w:rPr>
              <w:t>赭曲霉毒素A</w:t>
            </w:r>
          </w:p>
        </w:tc>
        <w:tc>
          <w:tcPr>
            <w:tcW w:w="1063" w:type="pct"/>
            <w:vAlign w:val="center"/>
          </w:tcPr>
          <w:p>
            <w:pPr>
              <w:jc w:val="center"/>
              <w:rPr>
                <w:rFonts w:eastAsia="等线"/>
                <w:szCs w:val="21"/>
              </w:rPr>
            </w:pPr>
            <w:r>
              <w:rPr>
                <w:rFonts w:eastAsia="等线"/>
                <w:szCs w:val="21"/>
              </w:rPr>
              <w:t>Ochratoxin A</w:t>
            </w:r>
          </w:p>
        </w:tc>
        <w:tc>
          <w:tcPr>
            <w:tcW w:w="498" w:type="pct"/>
            <w:vAlign w:val="center"/>
          </w:tcPr>
          <w:p>
            <w:pPr>
              <w:jc w:val="center"/>
              <w:rPr>
                <w:rFonts w:eastAsia="等线"/>
                <w:szCs w:val="21"/>
              </w:rPr>
            </w:pPr>
            <w:r>
              <w:rPr>
                <w:rFonts w:hint="eastAsia" w:eastAsia="等线"/>
                <w:szCs w:val="21"/>
              </w:rPr>
              <w:t>O</w:t>
            </w:r>
            <w:r>
              <w:rPr>
                <w:rFonts w:eastAsia="等线"/>
                <w:szCs w:val="21"/>
              </w:rPr>
              <w:t>TA</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20</w:t>
            </w:r>
            <w:r>
              <w:rPr>
                <w:rFonts w:eastAsia="等线"/>
                <w:szCs w:val="21"/>
              </w:rPr>
              <w:t>H</w:t>
            </w:r>
            <w:r>
              <w:rPr>
                <w:rFonts w:eastAsia="等线"/>
                <w:szCs w:val="21"/>
                <w:vertAlign w:val="subscript"/>
              </w:rPr>
              <w:t>18</w:t>
            </w:r>
            <w:r>
              <w:rPr>
                <w:rFonts w:eastAsia="等线"/>
                <w:szCs w:val="21"/>
              </w:rPr>
              <w:t>ClNO</w:t>
            </w:r>
            <w:r>
              <w:rPr>
                <w:rFonts w:eastAsia="等线"/>
                <w:szCs w:val="21"/>
                <w:vertAlign w:val="subscript"/>
              </w:rPr>
              <w:t>6</w:t>
            </w:r>
          </w:p>
        </w:tc>
        <w:tc>
          <w:tcPr>
            <w:tcW w:w="679" w:type="pct"/>
            <w:shd w:val="clear" w:color="auto" w:fill="auto"/>
            <w:vAlign w:val="center"/>
          </w:tcPr>
          <w:p>
            <w:pPr>
              <w:jc w:val="center"/>
              <w:rPr>
                <w:rFonts w:eastAsia="等线"/>
                <w:szCs w:val="21"/>
              </w:rPr>
            </w:pPr>
            <w:r>
              <w:rPr>
                <w:rFonts w:eastAsia="等线"/>
                <w:szCs w:val="21"/>
              </w:rPr>
              <w:t>403.80</w:t>
            </w:r>
          </w:p>
        </w:tc>
        <w:tc>
          <w:tcPr>
            <w:tcW w:w="817" w:type="pct"/>
            <w:shd w:val="clear" w:color="auto" w:fill="auto"/>
            <w:vAlign w:val="center"/>
          </w:tcPr>
          <w:p>
            <w:pPr>
              <w:jc w:val="center"/>
              <w:rPr>
                <w:rFonts w:eastAsia="等线"/>
                <w:szCs w:val="21"/>
              </w:rPr>
            </w:pPr>
            <w:r>
              <w:rPr>
                <w:rFonts w:eastAsia="等线"/>
                <w:szCs w:val="21"/>
              </w:rPr>
              <w:t>303-47-9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szCs w:val="21"/>
              </w:rPr>
              <w:t>桔青霉素</w:t>
            </w:r>
          </w:p>
        </w:tc>
        <w:tc>
          <w:tcPr>
            <w:tcW w:w="1063" w:type="pct"/>
            <w:vAlign w:val="center"/>
          </w:tcPr>
          <w:p>
            <w:pPr>
              <w:jc w:val="center"/>
              <w:rPr>
                <w:rFonts w:eastAsia="等线"/>
                <w:szCs w:val="21"/>
              </w:rPr>
            </w:pPr>
            <w:r>
              <w:rPr>
                <w:rFonts w:eastAsia="等线"/>
                <w:szCs w:val="21"/>
              </w:rPr>
              <w:t>Citrinin</w:t>
            </w:r>
          </w:p>
        </w:tc>
        <w:tc>
          <w:tcPr>
            <w:tcW w:w="498" w:type="pct"/>
            <w:vAlign w:val="center"/>
          </w:tcPr>
          <w:p>
            <w:pPr>
              <w:jc w:val="center"/>
              <w:rPr>
                <w:rFonts w:eastAsia="等线"/>
                <w:szCs w:val="21"/>
              </w:rPr>
            </w:pPr>
            <w:r>
              <w:rPr>
                <w:rFonts w:hint="eastAsia" w:eastAsia="等线"/>
                <w:szCs w:val="21"/>
              </w:rPr>
              <w:t>C</w:t>
            </w:r>
            <w:r>
              <w:rPr>
                <w:rFonts w:eastAsia="等线"/>
                <w:szCs w:val="21"/>
              </w:rPr>
              <w:t>IT</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13</w:t>
            </w:r>
            <w:r>
              <w:rPr>
                <w:rFonts w:eastAsia="等线"/>
                <w:szCs w:val="21"/>
              </w:rPr>
              <w:t>H</w:t>
            </w:r>
            <w:r>
              <w:rPr>
                <w:rFonts w:eastAsia="等线"/>
                <w:szCs w:val="21"/>
                <w:vertAlign w:val="subscript"/>
              </w:rPr>
              <w:t>14</w:t>
            </w:r>
            <w:r>
              <w:rPr>
                <w:rFonts w:eastAsia="等线"/>
                <w:szCs w:val="21"/>
              </w:rPr>
              <w:t>O</w:t>
            </w:r>
            <w:r>
              <w:rPr>
                <w:rFonts w:eastAsia="等线"/>
                <w:szCs w:val="21"/>
                <w:vertAlign w:val="subscript"/>
              </w:rPr>
              <w:t>5</w:t>
            </w:r>
          </w:p>
        </w:tc>
        <w:tc>
          <w:tcPr>
            <w:tcW w:w="679" w:type="pct"/>
            <w:shd w:val="clear" w:color="auto" w:fill="auto"/>
            <w:vAlign w:val="center"/>
          </w:tcPr>
          <w:p>
            <w:pPr>
              <w:jc w:val="center"/>
              <w:rPr>
                <w:rFonts w:eastAsia="等线"/>
                <w:szCs w:val="21"/>
              </w:rPr>
            </w:pPr>
            <w:r>
              <w:rPr>
                <w:rFonts w:eastAsia="等线"/>
                <w:szCs w:val="21"/>
              </w:rPr>
              <w:t>250.25</w:t>
            </w:r>
          </w:p>
        </w:tc>
        <w:tc>
          <w:tcPr>
            <w:tcW w:w="817" w:type="pct"/>
            <w:shd w:val="clear" w:color="auto" w:fill="auto"/>
            <w:vAlign w:val="center"/>
          </w:tcPr>
          <w:p>
            <w:pPr>
              <w:jc w:val="center"/>
              <w:rPr>
                <w:rFonts w:eastAsia="等线"/>
                <w:szCs w:val="21"/>
              </w:rPr>
            </w:pPr>
            <w:r>
              <w:rPr>
                <w:rFonts w:eastAsia="等线"/>
                <w:szCs w:val="21"/>
              </w:rPr>
              <w:t>518-75-2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szCs w:val="21"/>
              </w:rPr>
              <w:t>黄绿青霉素</w:t>
            </w:r>
          </w:p>
        </w:tc>
        <w:tc>
          <w:tcPr>
            <w:tcW w:w="1063" w:type="pct"/>
            <w:vAlign w:val="center"/>
          </w:tcPr>
          <w:p>
            <w:pPr>
              <w:jc w:val="center"/>
              <w:rPr>
                <w:rFonts w:eastAsia="等线"/>
                <w:szCs w:val="21"/>
              </w:rPr>
            </w:pPr>
            <w:r>
              <w:rPr>
                <w:rFonts w:eastAsia="等线"/>
                <w:szCs w:val="21"/>
              </w:rPr>
              <w:t>Citreoviridin</w:t>
            </w:r>
          </w:p>
        </w:tc>
        <w:tc>
          <w:tcPr>
            <w:tcW w:w="498" w:type="pct"/>
            <w:vAlign w:val="center"/>
          </w:tcPr>
          <w:p>
            <w:pPr>
              <w:jc w:val="center"/>
              <w:rPr>
                <w:rFonts w:eastAsia="等线"/>
                <w:szCs w:val="21"/>
              </w:rPr>
            </w:pPr>
            <w:r>
              <w:rPr>
                <w:rFonts w:hint="eastAsia" w:eastAsia="等线"/>
                <w:szCs w:val="21"/>
              </w:rPr>
              <w:t>C</w:t>
            </w:r>
            <w:r>
              <w:rPr>
                <w:rFonts w:eastAsia="等线"/>
                <w:szCs w:val="21"/>
              </w:rPr>
              <w:t>TV</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23</w:t>
            </w:r>
            <w:r>
              <w:rPr>
                <w:rFonts w:eastAsia="等线"/>
                <w:szCs w:val="21"/>
              </w:rPr>
              <w:t>H</w:t>
            </w:r>
            <w:r>
              <w:rPr>
                <w:rFonts w:eastAsia="等线"/>
                <w:szCs w:val="21"/>
                <w:vertAlign w:val="subscript"/>
              </w:rPr>
              <w:t>30</w:t>
            </w:r>
            <w:r>
              <w:rPr>
                <w:rFonts w:eastAsia="等线"/>
                <w:szCs w:val="21"/>
              </w:rPr>
              <w:t>O</w:t>
            </w:r>
            <w:r>
              <w:rPr>
                <w:rFonts w:eastAsia="等线"/>
                <w:szCs w:val="21"/>
                <w:vertAlign w:val="subscript"/>
              </w:rPr>
              <w:t>6</w:t>
            </w:r>
          </w:p>
        </w:tc>
        <w:tc>
          <w:tcPr>
            <w:tcW w:w="679" w:type="pct"/>
            <w:shd w:val="clear" w:color="auto" w:fill="auto"/>
            <w:vAlign w:val="center"/>
          </w:tcPr>
          <w:p>
            <w:pPr>
              <w:jc w:val="center"/>
              <w:rPr>
                <w:rFonts w:eastAsia="等线"/>
                <w:szCs w:val="21"/>
              </w:rPr>
            </w:pPr>
            <w:r>
              <w:rPr>
                <w:rFonts w:eastAsia="等线"/>
                <w:szCs w:val="21"/>
              </w:rPr>
              <w:t>402.50</w:t>
            </w:r>
          </w:p>
        </w:tc>
        <w:tc>
          <w:tcPr>
            <w:tcW w:w="817" w:type="pct"/>
            <w:shd w:val="clear" w:color="auto" w:fill="auto"/>
            <w:vAlign w:val="center"/>
          </w:tcPr>
          <w:p>
            <w:pPr>
              <w:jc w:val="center"/>
              <w:rPr>
                <w:rFonts w:eastAsia="等线"/>
                <w:szCs w:val="21"/>
              </w:rPr>
            </w:pPr>
            <w:r>
              <w:rPr>
                <w:rFonts w:eastAsia="等线"/>
                <w:szCs w:val="21"/>
              </w:rPr>
              <w:t>25425-12-1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szCs w:val="21"/>
              </w:rPr>
              <w:t>霉酚酸</w:t>
            </w:r>
          </w:p>
        </w:tc>
        <w:tc>
          <w:tcPr>
            <w:tcW w:w="1063" w:type="pct"/>
            <w:vAlign w:val="center"/>
          </w:tcPr>
          <w:p>
            <w:pPr>
              <w:jc w:val="center"/>
              <w:rPr>
                <w:rFonts w:eastAsia="等线"/>
                <w:szCs w:val="21"/>
              </w:rPr>
            </w:pPr>
            <w:r>
              <w:rPr>
                <w:rFonts w:eastAsia="等线"/>
                <w:szCs w:val="21"/>
              </w:rPr>
              <w:t>Mycophenolic acid</w:t>
            </w:r>
          </w:p>
        </w:tc>
        <w:tc>
          <w:tcPr>
            <w:tcW w:w="498" w:type="pct"/>
            <w:vAlign w:val="center"/>
          </w:tcPr>
          <w:p>
            <w:pPr>
              <w:jc w:val="center"/>
              <w:rPr>
                <w:rFonts w:eastAsia="等线"/>
                <w:szCs w:val="21"/>
              </w:rPr>
            </w:pPr>
            <w:r>
              <w:rPr>
                <w:rFonts w:hint="eastAsia" w:eastAsia="等线"/>
                <w:szCs w:val="21"/>
              </w:rPr>
              <w:t>M</w:t>
            </w:r>
            <w:r>
              <w:rPr>
                <w:rFonts w:eastAsia="等线"/>
                <w:szCs w:val="21"/>
              </w:rPr>
              <w:t>PA</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17</w:t>
            </w:r>
            <w:r>
              <w:rPr>
                <w:rFonts w:eastAsia="等线"/>
                <w:szCs w:val="21"/>
              </w:rPr>
              <w:t>H</w:t>
            </w:r>
            <w:r>
              <w:rPr>
                <w:rFonts w:eastAsia="等线"/>
                <w:szCs w:val="21"/>
                <w:vertAlign w:val="subscript"/>
              </w:rPr>
              <w:t>20</w:t>
            </w:r>
            <w:r>
              <w:rPr>
                <w:rFonts w:eastAsia="等线"/>
                <w:szCs w:val="21"/>
              </w:rPr>
              <w:t>O</w:t>
            </w:r>
            <w:r>
              <w:rPr>
                <w:rFonts w:eastAsia="等线"/>
                <w:szCs w:val="21"/>
                <w:vertAlign w:val="subscript"/>
              </w:rPr>
              <w:t>6</w:t>
            </w:r>
          </w:p>
        </w:tc>
        <w:tc>
          <w:tcPr>
            <w:tcW w:w="679" w:type="pct"/>
            <w:shd w:val="clear" w:color="auto" w:fill="auto"/>
            <w:vAlign w:val="center"/>
          </w:tcPr>
          <w:p>
            <w:pPr>
              <w:jc w:val="center"/>
              <w:rPr>
                <w:rFonts w:eastAsia="等线"/>
                <w:szCs w:val="21"/>
              </w:rPr>
            </w:pPr>
            <w:r>
              <w:rPr>
                <w:rFonts w:eastAsia="等线"/>
                <w:szCs w:val="21"/>
              </w:rPr>
              <w:t>320.30</w:t>
            </w:r>
          </w:p>
        </w:tc>
        <w:tc>
          <w:tcPr>
            <w:tcW w:w="817" w:type="pct"/>
            <w:shd w:val="clear" w:color="auto" w:fill="auto"/>
            <w:vAlign w:val="center"/>
          </w:tcPr>
          <w:p>
            <w:pPr>
              <w:jc w:val="center"/>
              <w:rPr>
                <w:rFonts w:eastAsia="等线"/>
                <w:szCs w:val="21"/>
              </w:rPr>
            </w:pPr>
            <w:r>
              <w:rPr>
                <w:rFonts w:eastAsia="等线"/>
                <w:szCs w:val="21"/>
              </w:rPr>
              <w:t>24280-93-1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pct"/>
            <w:shd w:val="clear" w:color="auto" w:fill="auto"/>
            <w:vAlign w:val="center"/>
          </w:tcPr>
          <w:p>
            <w:pPr>
              <w:jc w:val="center"/>
              <w:rPr>
                <w:szCs w:val="21"/>
              </w:rPr>
            </w:pPr>
            <w:r>
              <w:rPr>
                <w:rFonts w:hint="eastAsia"/>
                <w:szCs w:val="21"/>
              </w:rPr>
              <w:t>异烟棒曲霉素C</w:t>
            </w:r>
          </w:p>
        </w:tc>
        <w:tc>
          <w:tcPr>
            <w:tcW w:w="1063" w:type="pct"/>
            <w:vAlign w:val="center"/>
          </w:tcPr>
          <w:p>
            <w:pPr>
              <w:jc w:val="center"/>
              <w:rPr>
                <w:rFonts w:eastAsia="等线"/>
                <w:szCs w:val="21"/>
              </w:rPr>
            </w:pPr>
            <w:r>
              <w:rPr>
                <w:rFonts w:eastAsia="等线"/>
                <w:szCs w:val="21"/>
              </w:rPr>
              <w:t>Roquefortine C</w:t>
            </w:r>
          </w:p>
        </w:tc>
        <w:tc>
          <w:tcPr>
            <w:tcW w:w="498" w:type="pct"/>
            <w:vAlign w:val="center"/>
          </w:tcPr>
          <w:p>
            <w:pPr>
              <w:jc w:val="center"/>
              <w:rPr>
                <w:rFonts w:eastAsia="等线"/>
                <w:szCs w:val="21"/>
              </w:rPr>
            </w:pPr>
            <w:r>
              <w:rPr>
                <w:rFonts w:hint="eastAsia" w:eastAsia="等线"/>
                <w:szCs w:val="21"/>
              </w:rPr>
              <w:t>R</w:t>
            </w:r>
            <w:r>
              <w:rPr>
                <w:rFonts w:eastAsia="等线"/>
                <w:szCs w:val="21"/>
              </w:rPr>
              <w:t>OC</w:t>
            </w:r>
          </w:p>
        </w:tc>
        <w:tc>
          <w:tcPr>
            <w:tcW w:w="958" w:type="pct"/>
            <w:shd w:val="clear" w:color="auto" w:fill="auto"/>
            <w:vAlign w:val="center"/>
          </w:tcPr>
          <w:p>
            <w:pPr>
              <w:jc w:val="center"/>
              <w:rPr>
                <w:rFonts w:eastAsia="等线"/>
                <w:szCs w:val="21"/>
              </w:rPr>
            </w:pPr>
            <w:r>
              <w:rPr>
                <w:rFonts w:eastAsia="等线"/>
                <w:szCs w:val="21"/>
              </w:rPr>
              <w:t>C</w:t>
            </w:r>
            <w:r>
              <w:rPr>
                <w:rFonts w:eastAsia="等线"/>
                <w:szCs w:val="21"/>
                <w:vertAlign w:val="subscript"/>
              </w:rPr>
              <w:t>22</w:t>
            </w:r>
            <w:r>
              <w:rPr>
                <w:rFonts w:eastAsia="等线"/>
                <w:szCs w:val="21"/>
              </w:rPr>
              <w:t>H</w:t>
            </w:r>
            <w:r>
              <w:rPr>
                <w:rFonts w:eastAsia="等线"/>
                <w:szCs w:val="21"/>
                <w:vertAlign w:val="subscript"/>
              </w:rPr>
              <w:t>23</w:t>
            </w:r>
            <w:r>
              <w:rPr>
                <w:rFonts w:eastAsia="等线"/>
                <w:szCs w:val="21"/>
              </w:rPr>
              <w:t>N</w:t>
            </w:r>
            <w:r>
              <w:rPr>
                <w:rFonts w:eastAsia="等线"/>
                <w:szCs w:val="21"/>
                <w:vertAlign w:val="subscript"/>
              </w:rPr>
              <w:t>5</w:t>
            </w:r>
            <w:r>
              <w:rPr>
                <w:rFonts w:eastAsia="等线"/>
                <w:szCs w:val="21"/>
              </w:rPr>
              <w:t>O</w:t>
            </w:r>
            <w:r>
              <w:rPr>
                <w:rFonts w:eastAsia="等线"/>
                <w:szCs w:val="21"/>
                <w:vertAlign w:val="subscript"/>
              </w:rPr>
              <w:t>2</w:t>
            </w:r>
          </w:p>
        </w:tc>
        <w:tc>
          <w:tcPr>
            <w:tcW w:w="679" w:type="pct"/>
            <w:shd w:val="clear" w:color="auto" w:fill="auto"/>
            <w:vAlign w:val="center"/>
          </w:tcPr>
          <w:p>
            <w:pPr>
              <w:jc w:val="center"/>
              <w:rPr>
                <w:rFonts w:eastAsia="等线"/>
                <w:szCs w:val="21"/>
              </w:rPr>
            </w:pPr>
            <w:r>
              <w:rPr>
                <w:rFonts w:eastAsia="等线"/>
                <w:szCs w:val="21"/>
              </w:rPr>
              <w:t>389.45</w:t>
            </w:r>
          </w:p>
        </w:tc>
        <w:tc>
          <w:tcPr>
            <w:tcW w:w="817" w:type="pct"/>
            <w:shd w:val="clear" w:color="auto" w:fill="auto"/>
            <w:vAlign w:val="center"/>
          </w:tcPr>
          <w:p>
            <w:pPr>
              <w:jc w:val="center"/>
              <w:rPr>
                <w:rFonts w:eastAsia="等线"/>
                <w:szCs w:val="21"/>
              </w:rPr>
            </w:pPr>
            <w:r>
              <w:rPr>
                <w:rFonts w:eastAsia="等线"/>
                <w:szCs w:val="21"/>
              </w:rPr>
              <w:t>58735-64-1</w:t>
            </w:r>
          </w:p>
        </w:tc>
      </w:tr>
    </w:tbl>
    <w:p>
      <w:pPr>
        <w:spacing w:after="156" w:afterLines="50" w:line="400" w:lineRule="atLeast"/>
        <w:jc w:val="center"/>
        <w:rPr>
          <w:rFonts w:ascii="黑体" w:hAnsi="黑体" w:eastAsia="黑体"/>
          <w:szCs w:val="21"/>
        </w:rPr>
      </w:pPr>
      <w:r>
        <w:rPr>
          <w:rFonts w:hint="eastAsia" w:ascii="黑体" w:hAnsi="黑体" w:eastAsia="黑体"/>
          <w:szCs w:val="21"/>
        </w:rPr>
        <w:t>表B</w:t>
      </w:r>
      <w:r>
        <w:rPr>
          <w:rFonts w:ascii="黑体" w:hAnsi="黑体" w:eastAsia="黑体"/>
          <w:szCs w:val="21"/>
        </w:rPr>
        <w:t xml:space="preserve">.2 </w:t>
      </w:r>
      <w:r>
        <w:rPr>
          <w:rFonts w:hint="eastAsia" w:ascii="黑体" w:hAnsi="黑体" w:eastAsia="黑体"/>
          <w:szCs w:val="21"/>
        </w:rPr>
        <w:t>六种真菌毒素单标标准储备液</w:t>
      </w:r>
    </w:p>
    <w:tbl>
      <w:tblPr>
        <w:tblStyle w:val="2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90"/>
        <w:gridCol w:w="3190"/>
        <w:gridCol w:w="3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190" w:type="dxa"/>
            <w:shd w:val="clear" w:color="auto" w:fill="auto"/>
            <w:vAlign w:val="center"/>
          </w:tcPr>
          <w:p>
            <w:pPr>
              <w:contextualSpacing/>
              <w:jc w:val="center"/>
              <w:rPr>
                <w:szCs w:val="21"/>
              </w:rPr>
            </w:pPr>
            <w:r>
              <w:rPr>
                <w:szCs w:val="21"/>
              </w:rPr>
              <w:t>名称</w:t>
            </w:r>
          </w:p>
        </w:tc>
        <w:tc>
          <w:tcPr>
            <w:tcW w:w="3190" w:type="dxa"/>
            <w:shd w:val="clear" w:color="auto" w:fill="auto"/>
            <w:vAlign w:val="center"/>
          </w:tcPr>
          <w:p>
            <w:pPr>
              <w:contextualSpacing/>
              <w:jc w:val="center"/>
              <w:rPr>
                <w:szCs w:val="21"/>
              </w:rPr>
            </w:pPr>
            <w:r>
              <w:rPr>
                <w:szCs w:val="21"/>
              </w:rPr>
              <w:t>浓度</w:t>
            </w:r>
            <w:r>
              <w:rPr>
                <w:rFonts w:hint="eastAsia"/>
                <w:szCs w:val="21"/>
              </w:rPr>
              <w:t>（</w:t>
            </w:r>
            <w:r>
              <w:rPr>
                <w:szCs w:val="21"/>
              </w:rPr>
              <w:t>μg/mL</w:t>
            </w:r>
            <w:r>
              <w:rPr>
                <w:rFonts w:hint="eastAsia"/>
                <w:szCs w:val="21"/>
              </w:rPr>
              <w:t>）</w:t>
            </w:r>
          </w:p>
        </w:tc>
        <w:tc>
          <w:tcPr>
            <w:tcW w:w="3190" w:type="dxa"/>
            <w:shd w:val="clear" w:color="auto" w:fill="auto"/>
            <w:vAlign w:val="center"/>
          </w:tcPr>
          <w:p>
            <w:pPr>
              <w:contextualSpacing/>
              <w:jc w:val="center"/>
              <w:rPr>
                <w:szCs w:val="21"/>
              </w:rPr>
            </w:pPr>
            <w:r>
              <w:rPr>
                <w:szCs w:val="21"/>
              </w:rPr>
              <w:t>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PA</w:t>
            </w:r>
          </w:p>
        </w:tc>
        <w:tc>
          <w:tcPr>
            <w:tcW w:w="3190" w:type="dxa"/>
            <w:shd w:val="clear" w:color="auto" w:fill="auto"/>
            <w:vAlign w:val="center"/>
          </w:tcPr>
          <w:p>
            <w:pPr>
              <w:contextualSpacing/>
              <w:jc w:val="center"/>
              <w:rPr>
                <w:szCs w:val="21"/>
              </w:rPr>
            </w:pPr>
            <w:r>
              <w:rPr>
                <w:rFonts w:hint="eastAsia"/>
                <w:szCs w:val="21"/>
              </w:rPr>
              <w:t>1</w:t>
            </w:r>
            <w:r>
              <w:rPr>
                <w:szCs w:val="21"/>
              </w:rPr>
              <w:t>00</w:t>
            </w:r>
          </w:p>
        </w:tc>
        <w:tc>
          <w:tcPr>
            <w:tcW w:w="3190" w:type="dxa"/>
            <w:shd w:val="clear" w:color="auto" w:fill="auto"/>
            <w:vAlign w:val="center"/>
          </w:tcPr>
          <w:p>
            <w:pPr>
              <w:contextualSpacing/>
              <w:jc w:val="center"/>
              <w:rPr>
                <w:szCs w:val="21"/>
              </w:rPr>
            </w:pPr>
            <w:r>
              <w:rPr>
                <w:rFonts w:hint="eastAsia"/>
                <w:szCs w:val="21"/>
              </w:rPr>
              <w:t>乙腈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CIT</w:t>
            </w:r>
          </w:p>
        </w:tc>
        <w:tc>
          <w:tcPr>
            <w:tcW w:w="3190" w:type="dxa"/>
            <w:shd w:val="clear" w:color="auto" w:fill="auto"/>
            <w:vAlign w:val="center"/>
          </w:tcPr>
          <w:p>
            <w:pPr>
              <w:contextualSpacing/>
              <w:jc w:val="center"/>
              <w:rPr>
                <w:szCs w:val="21"/>
              </w:rPr>
            </w:pPr>
            <w:r>
              <w:rPr>
                <w:rFonts w:hint="eastAsia"/>
                <w:szCs w:val="21"/>
              </w:rPr>
              <w:t>1</w:t>
            </w:r>
            <w:r>
              <w:rPr>
                <w:szCs w:val="21"/>
              </w:rPr>
              <w:t>00</w:t>
            </w:r>
          </w:p>
        </w:tc>
        <w:tc>
          <w:tcPr>
            <w:tcW w:w="3190" w:type="dxa"/>
            <w:shd w:val="clear" w:color="auto" w:fill="auto"/>
            <w:vAlign w:val="center"/>
          </w:tcPr>
          <w:p>
            <w:pPr>
              <w:contextualSpacing/>
              <w:jc w:val="center"/>
              <w:rPr>
                <w:szCs w:val="21"/>
              </w:rPr>
            </w:pPr>
            <w:r>
              <w:rPr>
                <w:rFonts w:hint="eastAsia"/>
                <w:szCs w:val="21"/>
              </w:rPr>
              <w:t>乙腈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MPA</w:t>
            </w:r>
          </w:p>
        </w:tc>
        <w:tc>
          <w:tcPr>
            <w:tcW w:w="3190" w:type="dxa"/>
            <w:shd w:val="clear" w:color="auto" w:fill="auto"/>
            <w:vAlign w:val="center"/>
          </w:tcPr>
          <w:p>
            <w:pPr>
              <w:contextualSpacing/>
              <w:jc w:val="center"/>
              <w:rPr>
                <w:szCs w:val="21"/>
              </w:rPr>
            </w:pPr>
            <w:r>
              <w:rPr>
                <w:rFonts w:hint="eastAsia"/>
                <w:szCs w:val="21"/>
              </w:rPr>
              <w:t>1</w:t>
            </w:r>
            <w:r>
              <w:rPr>
                <w:szCs w:val="21"/>
              </w:rPr>
              <w:t>00</w:t>
            </w:r>
          </w:p>
        </w:tc>
        <w:tc>
          <w:tcPr>
            <w:tcW w:w="3190" w:type="dxa"/>
            <w:shd w:val="clear" w:color="auto" w:fill="auto"/>
            <w:vAlign w:val="center"/>
          </w:tcPr>
          <w:p>
            <w:pPr>
              <w:contextualSpacing/>
              <w:jc w:val="center"/>
              <w:rPr>
                <w:szCs w:val="21"/>
              </w:rPr>
            </w:pPr>
            <w:r>
              <w:rPr>
                <w:rFonts w:hint="eastAsia"/>
                <w:szCs w:val="21"/>
              </w:rPr>
              <w:t>乙腈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ROC</w:t>
            </w:r>
          </w:p>
        </w:tc>
        <w:tc>
          <w:tcPr>
            <w:tcW w:w="3190" w:type="dxa"/>
            <w:shd w:val="clear" w:color="auto" w:fill="auto"/>
            <w:vAlign w:val="center"/>
          </w:tcPr>
          <w:p>
            <w:pPr>
              <w:contextualSpacing/>
              <w:jc w:val="center"/>
              <w:rPr>
                <w:szCs w:val="21"/>
              </w:rPr>
            </w:pPr>
            <w:r>
              <w:rPr>
                <w:rFonts w:hint="eastAsia"/>
                <w:szCs w:val="21"/>
              </w:rPr>
              <w:t>1</w:t>
            </w:r>
            <w:r>
              <w:rPr>
                <w:szCs w:val="21"/>
              </w:rPr>
              <w:t>0</w:t>
            </w:r>
          </w:p>
        </w:tc>
        <w:tc>
          <w:tcPr>
            <w:tcW w:w="3190" w:type="dxa"/>
            <w:shd w:val="clear" w:color="auto" w:fill="auto"/>
            <w:vAlign w:val="center"/>
          </w:tcPr>
          <w:p>
            <w:pPr>
              <w:contextualSpacing/>
              <w:jc w:val="center"/>
              <w:rPr>
                <w:szCs w:val="21"/>
              </w:rPr>
            </w:pPr>
            <w:r>
              <w:rPr>
                <w:rFonts w:hint="eastAsia"/>
                <w:szCs w:val="21"/>
              </w:rPr>
              <w:t>乙腈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OTA</w:t>
            </w:r>
          </w:p>
        </w:tc>
        <w:tc>
          <w:tcPr>
            <w:tcW w:w="3190" w:type="dxa"/>
            <w:shd w:val="clear" w:color="auto" w:fill="auto"/>
            <w:vAlign w:val="center"/>
          </w:tcPr>
          <w:p>
            <w:pPr>
              <w:contextualSpacing/>
              <w:jc w:val="center"/>
              <w:rPr>
                <w:szCs w:val="21"/>
              </w:rPr>
            </w:pPr>
            <w:r>
              <w:rPr>
                <w:rFonts w:hint="eastAsia"/>
                <w:szCs w:val="21"/>
              </w:rPr>
              <w:t>1</w:t>
            </w:r>
            <w:r>
              <w:rPr>
                <w:szCs w:val="21"/>
              </w:rPr>
              <w:t>0</w:t>
            </w:r>
          </w:p>
        </w:tc>
        <w:tc>
          <w:tcPr>
            <w:tcW w:w="3190" w:type="dxa"/>
            <w:shd w:val="clear" w:color="auto" w:fill="auto"/>
            <w:vAlign w:val="center"/>
          </w:tcPr>
          <w:p>
            <w:pPr>
              <w:contextualSpacing/>
              <w:jc w:val="center"/>
              <w:rPr>
                <w:szCs w:val="21"/>
              </w:rPr>
            </w:pPr>
            <w:r>
              <w:rPr>
                <w:rFonts w:hint="eastAsia"/>
                <w:szCs w:val="21"/>
              </w:rPr>
              <w:t>乙腈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shd w:val="clear" w:color="auto" w:fill="auto"/>
            <w:vAlign w:val="center"/>
          </w:tcPr>
          <w:p>
            <w:pPr>
              <w:contextualSpacing/>
              <w:jc w:val="center"/>
              <w:rPr>
                <w:szCs w:val="21"/>
              </w:rPr>
            </w:pPr>
            <w:r>
              <w:rPr>
                <w:szCs w:val="21"/>
              </w:rPr>
              <w:t>CTV</w:t>
            </w:r>
          </w:p>
        </w:tc>
        <w:tc>
          <w:tcPr>
            <w:tcW w:w="3190" w:type="dxa"/>
            <w:shd w:val="clear" w:color="auto" w:fill="auto"/>
            <w:vAlign w:val="center"/>
          </w:tcPr>
          <w:p>
            <w:pPr>
              <w:contextualSpacing/>
              <w:jc w:val="center"/>
              <w:rPr>
                <w:szCs w:val="21"/>
              </w:rPr>
            </w:pPr>
            <w:r>
              <w:rPr>
                <w:rFonts w:hint="eastAsia"/>
                <w:szCs w:val="21"/>
              </w:rPr>
              <w:t>1</w:t>
            </w:r>
            <w:r>
              <w:rPr>
                <w:szCs w:val="21"/>
              </w:rPr>
              <w:t>00</w:t>
            </w:r>
          </w:p>
        </w:tc>
        <w:tc>
          <w:tcPr>
            <w:tcW w:w="3190" w:type="dxa"/>
            <w:shd w:val="clear" w:color="auto" w:fill="auto"/>
            <w:vAlign w:val="center"/>
          </w:tcPr>
          <w:p>
            <w:pPr>
              <w:contextualSpacing/>
              <w:jc w:val="center"/>
              <w:rPr>
                <w:szCs w:val="21"/>
              </w:rPr>
            </w:pPr>
            <w:r>
              <w:rPr>
                <w:rFonts w:hint="eastAsia"/>
                <w:szCs w:val="21"/>
              </w:rPr>
              <w:t>乙腈</w:t>
            </w:r>
          </w:p>
        </w:tc>
      </w:tr>
    </w:tbl>
    <w:p>
      <w:pPr>
        <w:spacing w:after="156" w:afterLines="50"/>
        <w:jc w:val="center"/>
        <w:rPr>
          <w:rFonts w:ascii="黑体" w:hAnsi="黑体" w:eastAsia="黑体"/>
          <w:szCs w:val="21"/>
        </w:rPr>
      </w:pPr>
      <w:r>
        <w:rPr>
          <w:rFonts w:hint="eastAsia" w:ascii="黑体" w:hAnsi="黑体" w:eastAsia="黑体"/>
          <w:szCs w:val="21"/>
        </w:rPr>
        <w:t>表B.</w:t>
      </w:r>
      <w:r>
        <w:rPr>
          <w:rFonts w:ascii="黑体" w:hAnsi="黑体" w:eastAsia="黑体"/>
          <w:szCs w:val="21"/>
        </w:rPr>
        <w:t xml:space="preserve">3 </w:t>
      </w:r>
      <w:r>
        <w:rPr>
          <w:rFonts w:hint="eastAsia" w:ascii="黑体" w:hAnsi="黑体" w:eastAsia="黑体"/>
          <w:szCs w:val="21"/>
        </w:rPr>
        <w:t>六种真菌毒素混合标准工作液</w:t>
      </w:r>
      <w:r>
        <w:rPr>
          <w:rFonts w:ascii="黑体" w:hAnsi="黑体" w:eastAsia="黑体"/>
          <w:szCs w:val="21"/>
        </w:rPr>
        <w:t>1</w:t>
      </w:r>
    </w:p>
    <w:tbl>
      <w:tblPr>
        <w:tblStyle w:val="29"/>
        <w:tblW w:w="0" w:type="auto"/>
        <w:tblInd w:w="13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9"/>
        <w:gridCol w:w="1872"/>
        <w:gridCol w:w="1559"/>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559" w:type="dxa"/>
            <w:shd w:val="clear" w:color="auto" w:fill="auto"/>
          </w:tcPr>
          <w:p>
            <w:pPr>
              <w:jc w:val="center"/>
              <w:rPr>
                <w:szCs w:val="21"/>
              </w:rPr>
            </w:pPr>
            <w:r>
              <w:rPr>
                <w:rFonts w:hint="eastAsia"/>
                <w:szCs w:val="21"/>
              </w:rPr>
              <w:t>毒素</w:t>
            </w:r>
            <w:r>
              <w:rPr>
                <w:szCs w:val="21"/>
              </w:rPr>
              <w:t>名称</w:t>
            </w:r>
          </w:p>
        </w:tc>
        <w:tc>
          <w:tcPr>
            <w:tcW w:w="1872" w:type="dxa"/>
            <w:shd w:val="clear" w:color="auto" w:fill="auto"/>
          </w:tcPr>
          <w:p>
            <w:pPr>
              <w:jc w:val="center"/>
              <w:rPr>
                <w:szCs w:val="21"/>
              </w:rPr>
            </w:pPr>
            <w:r>
              <w:rPr>
                <w:szCs w:val="21"/>
              </w:rPr>
              <w:t>浓度</w:t>
            </w:r>
            <w:r>
              <w:rPr>
                <w:rFonts w:hint="eastAsia"/>
                <w:szCs w:val="21"/>
              </w:rPr>
              <w:t>（</w:t>
            </w:r>
            <w:r>
              <w:rPr>
                <w:szCs w:val="21"/>
              </w:rPr>
              <w:t>μg/mL</w:t>
            </w:r>
            <w:r>
              <w:rPr>
                <w:rFonts w:hint="eastAsia"/>
                <w:szCs w:val="21"/>
              </w:rPr>
              <w:t>）</w:t>
            </w:r>
          </w:p>
        </w:tc>
        <w:tc>
          <w:tcPr>
            <w:tcW w:w="1559" w:type="dxa"/>
            <w:shd w:val="clear" w:color="auto" w:fill="auto"/>
          </w:tcPr>
          <w:p>
            <w:pPr>
              <w:jc w:val="center"/>
              <w:rPr>
                <w:szCs w:val="21"/>
              </w:rPr>
            </w:pPr>
            <w:r>
              <w:rPr>
                <w:rFonts w:hint="eastAsia"/>
                <w:szCs w:val="21"/>
              </w:rPr>
              <w:t>毒素</w:t>
            </w:r>
            <w:r>
              <w:rPr>
                <w:szCs w:val="21"/>
              </w:rPr>
              <w:t>名称</w:t>
            </w:r>
          </w:p>
        </w:tc>
        <w:tc>
          <w:tcPr>
            <w:tcW w:w="1701" w:type="dxa"/>
            <w:shd w:val="clear" w:color="auto" w:fill="auto"/>
          </w:tcPr>
          <w:p>
            <w:pPr>
              <w:jc w:val="center"/>
              <w:rPr>
                <w:szCs w:val="21"/>
              </w:rPr>
            </w:pPr>
            <w:r>
              <w:rPr>
                <w:szCs w:val="21"/>
              </w:rPr>
              <w:t>浓度</w:t>
            </w:r>
            <w:r>
              <w:rPr>
                <w:rFonts w:hint="eastAsia"/>
                <w:szCs w:val="21"/>
              </w:rPr>
              <w:t>（</w:t>
            </w:r>
            <w:r>
              <w:rPr>
                <w:szCs w:val="21"/>
              </w:rPr>
              <w:t>μg/</w:t>
            </w:r>
            <w:r>
              <w:rPr>
                <w:rFonts w:hint="eastAsia"/>
                <w:szCs w:val="21"/>
              </w:rPr>
              <w:t>m</w:t>
            </w:r>
            <w:r>
              <w:rPr>
                <w:szCs w:val="21"/>
              </w:rPr>
              <w:t>L</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PA</w:t>
            </w:r>
          </w:p>
        </w:tc>
        <w:tc>
          <w:tcPr>
            <w:tcW w:w="1872" w:type="dxa"/>
            <w:shd w:val="clear" w:color="auto" w:fill="auto"/>
          </w:tcPr>
          <w:p>
            <w:pPr>
              <w:jc w:val="center"/>
              <w:rPr>
                <w:szCs w:val="21"/>
              </w:rPr>
            </w:pPr>
            <w:r>
              <w:rPr>
                <w:rFonts w:hint="eastAsia"/>
                <w:szCs w:val="21"/>
              </w:rPr>
              <w:t>1</w:t>
            </w:r>
            <w:r>
              <w:rPr>
                <w:szCs w:val="21"/>
              </w:rPr>
              <w:t>.5</w:t>
            </w:r>
          </w:p>
        </w:tc>
        <w:tc>
          <w:tcPr>
            <w:tcW w:w="1559" w:type="dxa"/>
            <w:shd w:val="clear" w:color="auto" w:fill="auto"/>
          </w:tcPr>
          <w:p>
            <w:pPr>
              <w:jc w:val="center"/>
              <w:rPr>
                <w:szCs w:val="21"/>
              </w:rPr>
            </w:pPr>
            <w:r>
              <w:rPr>
                <w:szCs w:val="21"/>
              </w:rPr>
              <w:t>ROC</w:t>
            </w:r>
          </w:p>
        </w:tc>
        <w:tc>
          <w:tcPr>
            <w:tcW w:w="1701" w:type="dxa"/>
            <w:shd w:val="clear" w:color="auto" w:fill="auto"/>
          </w:tcPr>
          <w:p>
            <w:pPr>
              <w:jc w:val="center"/>
              <w:rPr>
                <w:szCs w:val="21"/>
              </w:rPr>
            </w:pPr>
            <w:r>
              <w:rPr>
                <w:rFonts w:hint="eastAsia"/>
                <w:szCs w:val="21"/>
              </w:rPr>
              <w:t>0</w:t>
            </w:r>
            <w:r>
              <w:rPr>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CIT</w:t>
            </w:r>
          </w:p>
        </w:tc>
        <w:tc>
          <w:tcPr>
            <w:tcW w:w="1872" w:type="dxa"/>
            <w:shd w:val="clear" w:color="auto" w:fill="auto"/>
          </w:tcPr>
          <w:p>
            <w:pPr>
              <w:jc w:val="center"/>
              <w:rPr>
                <w:szCs w:val="21"/>
              </w:rPr>
            </w:pPr>
            <w:r>
              <w:rPr>
                <w:rFonts w:hint="eastAsia"/>
                <w:szCs w:val="21"/>
              </w:rPr>
              <w:t>5</w:t>
            </w:r>
            <w:r>
              <w:rPr>
                <w:szCs w:val="21"/>
              </w:rPr>
              <w:t>.0</w:t>
            </w:r>
          </w:p>
        </w:tc>
        <w:tc>
          <w:tcPr>
            <w:tcW w:w="1559" w:type="dxa"/>
            <w:shd w:val="clear" w:color="auto" w:fill="auto"/>
          </w:tcPr>
          <w:p>
            <w:pPr>
              <w:jc w:val="center"/>
              <w:rPr>
                <w:szCs w:val="21"/>
              </w:rPr>
            </w:pPr>
            <w:r>
              <w:rPr>
                <w:szCs w:val="21"/>
              </w:rPr>
              <w:t>OTA</w:t>
            </w:r>
          </w:p>
        </w:tc>
        <w:tc>
          <w:tcPr>
            <w:tcW w:w="1701" w:type="dxa"/>
            <w:shd w:val="clear" w:color="auto" w:fill="auto"/>
          </w:tcPr>
          <w:p>
            <w:pPr>
              <w:jc w:val="center"/>
              <w:rPr>
                <w:szCs w:val="21"/>
              </w:rPr>
            </w:pPr>
            <w:r>
              <w:rPr>
                <w:rFonts w:hint="eastAsia"/>
                <w:szCs w:val="21"/>
              </w:rPr>
              <w:t>0</w:t>
            </w:r>
            <w:r>
              <w:rPr>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MPA</w:t>
            </w:r>
          </w:p>
        </w:tc>
        <w:tc>
          <w:tcPr>
            <w:tcW w:w="1872" w:type="dxa"/>
            <w:shd w:val="clear" w:color="auto" w:fill="auto"/>
          </w:tcPr>
          <w:p>
            <w:pPr>
              <w:jc w:val="center"/>
              <w:rPr>
                <w:szCs w:val="21"/>
              </w:rPr>
            </w:pPr>
            <w:r>
              <w:rPr>
                <w:rFonts w:hint="eastAsia"/>
                <w:szCs w:val="21"/>
              </w:rPr>
              <w:t>1</w:t>
            </w:r>
            <w:r>
              <w:rPr>
                <w:szCs w:val="21"/>
              </w:rPr>
              <w:t>.5</w:t>
            </w:r>
          </w:p>
        </w:tc>
        <w:tc>
          <w:tcPr>
            <w:tcW w:w="1559" w:type="dxa"/>
            <w:shd w:val="clear" w:color="auto" w:fill="auto"/>
          </w:tcPr>
          <w:p>
            <w:pPr>
              <w:jc w:val="center"/>
              <w:rPr>
                <w:szCs w:val="21"/>
              </w:rPr>
            </w:pPr>
            <w:r>
              <w:rPr>
                <w:szCs w:val="21"/>
              </w:rPr>
              <w:t>CTV</w:t>
            </w:r>
          </w:p>
        </w:tc>
        <w:tc>
          <w:tcPr>
            <w:tcW w:w="1701" w:type="dxa"/>
            <w:shd w:val="clear" w:color="auto" w:fill="auto"/>
          </w:tcPr>
          <w:p>
            <w:pPr>
              <w:jc w:val="center"/>
              <w:rPr>
                <w:szCs w:val="21"/>
              </w:rPr>
            </w:pPr>
            <w:r>
              <w:rPr>
                <w:rFonts w:hint="eastAsia"/>
                <w:szCs w:val="21"/>
              </w:rPr>
              <w:t>2</w:t>
            </w:r>
            <w:r>
              <w:rPr>
                <w:szCs w:val="21"/>
              </w:rPr>
              <w:t>.0</w:t>
            </w:r>
          </w:p>
        </w:tc>
      </w:tr>
    </w:tbl>
    <w:p>
      <w:pPr>
        <w:spacing w:after="156" w:afterLines="50"/>
        <w:jc w:val="center"/>
        <w:rPr>
          <w:rFonts w:ascii="黑体" w:hAnsi="黑体" w:eastAsia="黑体"/>
          <w:szCs w:val="21"/>
        </w:rPr>
      </w:pPr>
    </w:p>
    <w:p>
      <w:pPr>
        <w:spacing w:after="156" w:afterLines="50"/>
        <w:jc w:val="center"/>
        <w:rPr>
          <w:rFonts w:ascii="黑体" w:hAnsi="黑体" w:eastAsia="黑体"/>
          <w:szCs w:val="21"/>
        </w:rPr>
      </w:pPr>
      <w:r>
        <w:rPr>
          <w:rFonts w:hint="eastAsia" w:ascii="黑体" w:hAnsi="黑体" w:eastAsia="黑体"/>
          <w:szCs w:val="21"/>
        </w:rPr>
        <w:t>表B</w:t>
      </w:r>
      <w:r>
        <w:rPr>
          <w:rFonts w:ascii="黑体" w:hAnsi="黑体" w:eastAsia="黑体"/>
          <w:szCs w:val="21"/>
        </w:rPr>
        <w:t xml:space="preserve">.4 </w:t>
      </w:r>
      <w:r>
        <w:rPr>
          <w:rFonts w:hint="eastAsia" w:ascii="黑体" w:hAnsi="黑体" w:eastAsia="黑体"/>
          <w:szCs w:val="21"/>
        </w:rPr>
        <w:t>六种真菌毒素混合标准工作液</w:t>
      </w:r>
      <w:r>
        <w:rPr>
          <w:rFonts w:ascii="黑体" w:hAnsi="黑体" w:eastAsia="黑体"/>
          <w:szCs w:val="21"/>
        </w:rPr>
        <w:t>2</w:t>
      </w:r>
    </w:p>
    <w:tbl>
      <w:tblPr>
        <w:tblStyle w:val="29"/>
        <w:tblW w:w="0" w:type="auto"/>
        <w:tblInd w:w="13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9"/>
        <w:gridCol w:w="1872"/>
        <w:gridCol w:w="1559"/>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559" w:type="dxa"/>
            <w:shd w:val="clear" w:color="auto" w:fill="auto"/>
          </w:tcPr>
          <w:p>
            <w:pPr>
              <w:jc w:val="center"/>
              <w:rPr>
                <w:szCs w:val="21"/>
              </w:rPr>
            </w:pPr>
            <w:bookmarkStart w:id="72" w:name="_Hlk85204695"/>
            <w:r>
              <w:rPr>
                <w:rFonts w:hint="eastAsia"/>
                <w:szCs w:val="21"/>
              </w:rPr>
              <w:t>毒素</w:t>
            </w:r>
            <w:r>
              <w:rPr>
                <w:szCs w:val="21"/>
              </w:rPr>
              <w:t>名称</w:t>
            </w:r>
          </w:p>
        </w:tc>
        <w:tc>
          <w:tcPr>
            <w:tcW w:w="1872" w:type="dxa"/>
            <w:shd w:val="clear" w:color="auto" w:fill="auto"/>
          </w:tcPr>
          <w:p>
            <w:pPr>
              <w:jc w:val="center"/>
              <w:rPr>
                <w:szCs w:val="21"/>
              </w:rPr>
            </w:pPr>
            <w:r>
              <w:rPr>
                <w:szCs w:val="21"/>
              </w:rPr>
              <w:t>浓度</w:t>
            </w:r>
            <w:r>
              <w:rPr>
                <w:rFonts w:hint="eastAsia"/>
                <w:szCs w:val="21"/>
              </w:rPr>
              <w:t>（</w:t>
            </w:r>
            <w:r>
              <w:rPr>
                <w:szCs w:val="21"/>
              </w:rPr>
              <w:t>μg/mL</w:t>
            </w:r>
            <w:r>
              <w:rPr>
                <w:rFonts w:hint="eastAsia"/>
                <w:szCs w:val="21"/>
              </w:rPr>
              <w:t>）</w:t>
            </w:r>
          </w:p>
        </w:tc>
        <w:tc>
          <w:tcPr>
            <w:tcW w:w="1559" w:type="dxa"/>
            <w:shd w:val="clear" w:color="auto" w:fill="auto"/>
          </w:tcPr>
          <w:p>
            <w:pPr>
              <w:jc w:val="center"/>
              <w:rPr>
                <w:szCs w:val="21"/>
              </w:rPr>
            </w:pPr>
            <w:r>
              <w:rPr>
                <w:rFonts w:hint="eastAsia"/>
                <w:szCs w:val="21"/>
              </w:rPr>
              <w:t>毒素</w:t>
            </w:r>
            <w:r>
              <w:rPr>
                <w:szCs w:val="21"/>
              </w:rPr>
              <w:t>名称</w:t>
            </w:r>
          </w:p>
        </w:tc>
        <w:tc>
          <w:tcPr>
            <w:tcW w:w="1701" w:type="dxa"/>
            <w:shd w:val="clear" w:color="auto" w:fill="auto"/>
          </w:tcPr>
          <w:p>
            <w:pPr>
              <w:jc w:val="center"/>
              <w:rPr>
                <w:szCs w:val="21"/>
              </w:rPr>
            </w:pPr>
            <w:r>
              <w:rPr>
                <w:szCs w:val="21"/>
              </w:rPr>
              <w:t>浓度</w:t>
            </w:r>
            <w:r>
              <w:rPr>
                <w:rFonts w:hint="eastAsia"/>
                <w:szCs w:val="21"/>
              </w:rPr>
              <w:t>（</w:t>
            </w:r>
            <w:r>
              <w:rPr>
                <w:szCs w:val="21"/>
              </w:rPr>
              <w:t>μg/</w:t>
            </w:r>
            <w:r>
              <w:rPr>
                <w:rFonts w:hint="eastAsia"/>
                <w:szCs w:val="21"/>
              </w:rPr>
              <w:t>m</w:t>
            </w:r>
            <w:r>
              <w:rPr>
                <w:szCs w:val="21"/>
              </w:rPr>
              <w:t>L</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PA</w:t>
            </w:r>
          </w:p>
        </w:tc>
        <w:tc>
          <w:tcPr>
            <w:tcW w:w="1872" w:type="dxa"/>
            <w:shd w:val="clear" w:color="auto" w:fill="auto"/>
          </w:tcPr>
          <w:p>
            <w:pPr>
              <w:jc w:val="center"/>
              <w:rPr>
                <w:szCs w:val="21"/>
              </w:rPr>
            </w:pPr>
            <w:r>
              <w:rPr>
                <w:rFonts w:hint="eastAsia"/>
                <w:szCs w:val="21"/>
              </w:rPr>
              <w:t>1</w:t>
            </w:r>
            <w:r>
              <w:rPr>
                <w:szCs w:val="21"/>
              </w:rPr>
              <w:t>.5</w:t>
            </w:r>
          </w:p>
        </w:tc>
        <w:tc>
          <w:tcPr>
            <w:tcW w:w="1559" w:type="dxa"/>
            <w:shd w:val="clear" w:color="auto" w:fill="auto"/>
          </w:tcPr>
          <w:p>
            <w:pPr>
              <w:jc w:val="center"/>
              <w:rPr>
                <w:szCs w:val="21"/>
              </w:rPr>
            </w:pPr>
            <w:r>
              <w:rPr>
                <w:szCs w:val="21"/>
              </w:rPr>
              <w:t>ROC</w:t>
            </w:r>
          </w:p>
        </w:tc>
        <w:tc>
          <w:tcPr>
            <w:tcW w:w="1701" w:type="dxa"/>
            <w:shd w:val="clear" w:color="auto" w:fill="auto"/>
          </w:tcPr>
          <w:p>
            <w:pPr>
              <w:jc w:val="center"/>
              <w:rPr>
                <w:szCs w:val="21"/>
              </w:rPr>
            </w:pPr>
            <w:r>
              <w:rPr>
                <w:rFonts w:hint="eastAsia"/>
                <w:szCs w:val="21"/>
              </w:rPr>
              <w:t>0</w:t>
            </w:r>
            <w:r>
              <w:rPr>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CIT</w:t>
            </w:r>
          </w:p>
        </w:tc>
        <w:tc>
          <w:tcPr>
            <w:tcW w:w="1872" w:type="dxa"/>
            <w:shd w:val="clear" w:color="auto" w:fill="auto"/>
          </w:tcPr>
          <w:p>
            <w:pPr>
              <w:jc w:val="center"/>
              <w:rPr>
                <w:szCs w:val="21"/>
              </w:rPr>
            </w:pPr>
            <w:r>
              <w:rPr>
                <w:rFonts w:hint="eastAsia"/>
                <w:szCs w:val="21"/>
              </w:rPr>
              <w:t>5</w:t>
            </w:r>
            <w:r>
              <w:rPr>
                <w:szCs w:val="21"/>
              </w:rPr>
              <w:t>.0</w:t>
            </w:r>
          </w:p>
        </w:tc>
        <w:tc>
          <w:tcPr>
            <w:tcW w:w="1559" w:type="dxa"/>
            <w:shd w:val="clear" w:color="auto" w:fill="auto"/>
          </w:tcPr>
          <w:p>
            <w:pPr>
              <w:jc w:val="center"/>
              <w:rPr>
                <w:szCs w:val="21"/>
              </w:rPr>
            </w:pPr>
            <w:r>
              <w:rPr>
                <w:szCs w:val="21"/>
              </w:rPr>
              <w:t>OTA</w:t>
            </w:r>
          </w:p>
        </w:tc>
        <w:tc>
          <w:tcPr>
            <w:tcW w:w="1701" w:type="dxa"/>
            <w:shd w:val="clear" w:color="auto" w:fill="auto"/>
          </w:tcPr>
          <w:p>
            <w:pPr>
              <w:jc w:val="center"/>
              <w:rPr>
                <w:szCs w:val="21"/>
              </w:rPr>
            </w:pPr>
            <w:r>
              <w:rPr>
                <w:rFonts w:hint="eastAsia"/>
                <w:szCs w:val="21"/>
              </w:rPr>
              <w:t>0</w:t>
            </w:r>
            <w:r>
              <w:rPr>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9" w:type="dxa"/>
            <w:shd w:val="clear" w:color="auto" w:fill="auto"/>
          </w:tcPr>
          <w:p>
            <w:pPr>
              <w:jc w:val="center"/>
              <w:rPr>
                <w:szCs w:val="21"/>
              </w:rPr>
            </w:pPr>
            <w:r>
              <w:rPr>
                <w:szCs w:val="21"/>
              </w:rPr>
              <w:t>MPA</w:t>
            </w:r>
          </w:p>
        </w:tc>
        <w:tc>
          <w:tcPr>
            <w:tcW w:w="1872" w:type="dxa"/>
            <w:shd w:val="clear" w:color="auto" w:fill="auto"/>
          </w:tcPr>
          <w:p>
            <w:pPr>
              <w:jc w:val="center"/>
              <w:rPr>
                <w:szCs w:val="21"/>
              </w:rPr>
            </w:pPr>
            <w:r>
              <w:rPr>
                <w:rFonts w:hint="eastAsia"/>
                <w:szCs w:val="21"/>
              </w:rPr>
              <w:t>1</w:t>
            </w:r>
            <w:r>
              <w:rPr>
                <w:szCs w:val="21"/>
              </w:rPr>
              <w:t>.5</w:t>
            </w:r>
          </w:p>
        </w:tc>
        <w:tc>
          <w:tcPr>
            <w:tcW w:w="1559" w:type="dxa"/>
            <w:shd w:val="clear" w:color="auto" w:fill="auto"/>
          </w:tcPr>
          <w:p>
            <w:pPr>
              <w:jc w:val="center"/>
              <w:rPr>
                <w:szCs w:val="21"/>
              </w:rPr>
            </w:pPr>
            <w:r>
              <w:rPr>
                <w:szCs w:val="21"/>
              </w:rPr>
              <w:t>CTV</w:t>
            </w:r>
          </w:p>
        </w:tc>
        <w:tc>
          <w:tcPr>
            <w:tcW w:w="1701" w:type="dxa"/>
            <w:shd w:val="clear" w:color="auto" w:fill="auto"/>
          </w:tcPr>
          <w:p>
            <w:pPr>
              <w:jc w:val="center"/>
              <w:rPr>
                <w:szCs w:val="21"/>
              </w:rPr>
            </w:pPr>
            <w:r>
              <w:rPr>
                <w:rFonts w:hint="eastAsia"/>
                <w:szCs w:val="21"/>
              </w:rPr>
              <w:t>2</w:t>
            </w:r>
            <w:r>
              <w:rPr>
                <w:szCs w:val="21"/>
              </w:rPr>
              <w:t>.0</w:t>
            </w:r>
          </w:p>
        </w:tc>
      </w:tr>
      <w:bookmarkEnd w:id="72"/>
    </w:tbl>
    <w:p>
      <w:pPr>
        <w:spacing w:after="156" w:afterLines="50"/>
        <w:jc w:val="center"/>
        <w:rPr>
          <w:rFonts w:ascii="黑体" w:hAnsi="黑体" w:eastAsia="黑体"/>
          <w:szCs w:val="21"/>
        </w:rPr>
      </w:pPr>
      <w:r>
        <w:rPr>
          <w:rFonts w:hint="eastAsia" w:ascii="黑体" w:hAnsi="黑体" w:eastAsia="黑体"/>
          <w:szCs w:val="21"/>
        </w:rPr>
        <w:t>表B.</w:t>
      </w:r>
      <w:r>
        <w:rPr>
          <w:rFonts w:ascii="黑体" w:hAnsi="黑体" w:eastAsia="黑体"/>
          <w:szCs w:val="21"/>
        </w:rPr>
        <w:t xml:space="preserve">5 </w:t>
      </w:r>
      <w:r>
        <w:rPr>
          <w:rFonts w:hint="eastAsia" w:ascii="黑体" w:hAnsi="黑体" w:eastAsia="黑体"/>
          <w:szCs w:val="21"/>
        </w:rPr>
        <w:t>大米、玉米、小麦基质匹配标准曲线溶液浓度</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8"/>
        <w:gridCol w:w="957"/>
        <w:gridCol w:w="957"/>
        <w:gridCol w:w="957"/>
        <w:gridCol w:w="957"/>
        <w:gridCol w:w="957"/>
        <w:gridCol w:w="958"/>
        <w:gridCol w:w="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tblHeader/>
          <w:jc w:val="center"/>
        </w:trPr>
        <w:tc>
          <w:tcPr>
            <w:tcW w:w="1558" w:type="dxa"/>
            <w:vMerge w:val="restart"/>
            <w:shd w:val="clear" w:color="auto" w:fill="auto"/>
            <w:vAlign w:val="center"/>
          </w:tcPr>
          <w:p>
            <w:pPr>
              <w:jc w:val="center"/>
            </w:pPr>
            <w:r>
              <w:t>毒素名称</w:t>
            </w:r>
          </w:p>
        </w:tc>
        <w:tc>
          <w:tcPr>
            <w:tcW w:w="6701" w:type="dxa"/>
            <w:gridSpan w:val="7"/>
          </w:tcPr>
          <w:p>
            <w:pPr>
              <w:jc w:val="center"/>
            </w:pPr>
            <w:r>
              <w:t>浓度（μg/L）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blHeader/>
          <w:jc w:val="center"/>
        </w:trPr>
        <w:tc>
          <w:tcPr>
            <w:tcW w:w="1558" w:type="dxa"/>
            <w:vMerge w:val="continue"/>
            <w:shd w:val="clear" w:color="auto" w:fill="auto"/>
          </w:tcPr>
          <w:p>
            <w:pPr>
              <w:jc w:val="center"/>
            </w:pPr>
          </w:p>
        </w:tc>
        <w:tc>
          <w:tcPr>
            <w:tcW w:w="957" w:type="dxa"/>
          </w:tcPr>
          <w:p>
            <w:pPr>
              <w:jc w:val="center"/>
            </w:pPr>
            <w:r>
              <w:t>标曲点1</w:t>
            </w:r>
          </w:p>
        </w:tc>
        <w:tc>
          <w:tcPr>
            <w:tcW w:w="957" w:type="dxa"/>
            <w:shd w:val="clear" w:color="auto" w:fill="auto"/>
          </w:tcPr>
          <w:p>
            <w:pPr>
              <w:jc w:val="center"/>
            </w:pPr>
            <w:r>
              <w:t>标曲点2</w:t>
            </w:r>
          </w:p>
        </w:tc>
        <w:tc>
          <w:tcPr>
            <w:tcW w:w="957" w:type="dxa"/>
            <w:shd w:val="clear" w:color="auto" w:fill="auto"/>
          </w:tcPr>
          <w:p>
            <w:pPr>
              <w:jc w:val="center"/>
            </w:pPr>
            <w:r>
              <w:t>标曲点3</w:t>
            </w:r>
          </w:p>
        </w:tc>
        <w:tc>
          <w:tcPr>
            <w:tcW w:w="957" w:type="dxa"/>
            <w:shd w:val="clear" w:color="auto" w:fill="auto"/>
          </w:tcPr>
          <w:p>
            <w:pPr>
              <w:jc w:val="center"/>
            </w:pPr>
            <w:r>
              <w:t>标曲点4</w:t>
            </w:r>
          </w:p>
        </w:tc>
        <w:tc>
          <w:tcPr>
            <w:tcW w:w="957" w:type="dxa"/>
            <w:shd w:val="clear" w:color="auto" w:fill="auto"/>
          </w:tcPr>
          <w:p>
            <w:pPr>
              <w:jc w:val="center"/>
            </w:pPr>
            <w:r>
              <w:t>标曲点5</w:t>
            </w:r>
          </w:p>
        </w:tc>
        <w:tc>
          <w:tcPr>
            <w:tcW w:w="958" w:type="dxa"/>
            <w:shd w:val="clear" w:color="auto" w:fill="auto"/>
          </w:tcPr>
          <w:p>
            <w:pPr>
              <w:jc w:val="center"/>
            </w:pPr>
            <w:r>
              <w:t>标曲点6</w:t>
            </w:r>
          </w:p>
        </w:tc>
        <w:tc>
          <w:tcPr>
            <w:tcW w:w="958" w:type="dxa"/>
            <w:shd w:val="clear" w:color="auto" w:fill="auto"/>
          </w:tcPr>
          <w:p>
            <w:pPr>
              <w:jc w:val="center"/>
            </w:pPr>
            <w:r>
              <w:t>标曲点7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558" w:type="dxa"/>
            <w:shd w:val="clear" w:color="auto" w:fill="auto"/>
          </w:tcPr>
          <w:p>
            <w:pPr>
              <w:jc w:val="center"/>
            </w:pPr>
            <w:r>
              <w:t>PA</w:t>
            </w:r>
          </w:p>
        </w:tc>
        <w:tc>
          <w:tcPr>
            <w:tcW w:w="957" w:type="dxa"/>
          </w:tcPr>
          <w:p>
            <w:pPr>
              <w:jc w:val="center"/>
            </w:pPr>
            <w:r>
              <w:t>1.50</w:t>
            </w:r>
          </w:p>
        </w:tc>
        <w:tc>
          <w:tcPr>
            <w:tcW w:w="957" w:type="dxa"/>
            <w:shd w:val="clear" w:color="auto" w:fill="auto"/>
          </w:tcPr>
          <w:p>
            <w:pPr>
              <w:jc w:val="center"/>
            </w:pPr>
            <w:r>
              <w:t>3.0</w:t>
            </w:r>
          </w:p>
        </w:tc>
        <w:tc>
          <w:tcPr>
            <w:tcW w:w="957" w:type="dxa"/>
            <w:shd w:val="clear" w:color="auto" w:fill="auto"/>
          </w:tcPr>
          <w:p>
            <w:pPr>
              <w:jc w:val="center"/>
            </w:pPr>
            <w:r>
              <w:t>6.0</w:t>
            </w:r>
          </w:p>
        </w:tc>
        <w:tc>
          <w:tcPr>
            <w:tcW w:w="957" w:type="dxa"/>
            <w:shd w:val="clear" w:color="auto" w:fill="auto"/>
          </w:tcPr>
          <w:p>
            <w:pPr>
              <w:jc w:val="center"/>
            </w:pPr>
            <w:r>
              <w:t>12.0</w:t>
            </w:r>
          </w:p>
        </w:tc>
        <w:tc>
          <w:tcPr>
            <w:tcW w:w="957" w:type="dxa"/>
            <w:shd w:val="clear" w:color="auto" w:fill="auto"/>
          </w:tcPr>
          <w:p>
            <w:pPr>
              <w:jc w:val="center"/>
            </w:pPr>
            <w:r>
              <w:t>18.0</w:t>
            </w:r>
          </w:p>
        </w:tc>
        <w:tc>
          <w:tcPr>
            <w:tcW w:w="958" w:type="dxa"/>
            <w:shd w:val="clear" w:color="auto" w:fill="auto"/>
          </w:tcPr>
          <w:p>
            <w:pPr>
              <w:jc w:val="center"/>
            </w:pPr>
            <w:r>
              <w:t>24.0</w:t>
            </w:r>
          </w:p>
        </w:tc>
        <w:tc>
          <w:tcPr>
            <w:tcW w:w="958" w:type="dxa"/>
            <w:shd w:val="clear" w:color="auto" w:fill="auto"/>
          </w:tcPr>
          <w:p>
            <w:pPr>
              <w:jc w:val="center"/>
            </w:pPr>
            <w: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CIT</w:t>
            </w:r>
          </w:p>
        </w:tc>
        <w:tc>
          <w:tcPr>
            <w:tcW w:w="957" w:type="dxa"/>
          </w:tcPr>
          <w:p>
            <w:pPr>
              <w:jc w:val="center"/>
            </w:pPr>
            <w:r>
              <w:t>5.0</w:t>
            </w:r>
          </w:p>
        </w:tc>
        <w:tc>
          <w:tcPr>
            <w:tcW w:w="957" w:type="dxa"/>
            <w:shd w:val="clear" w:color="auto" w:fill="auto"/>
          </w:tcPr>
          <w:p>
            <w:pPr>
              <w:jc w:val="center"/>
            </w:pPr>
            <w:r>
              <w:t>10.0</w:t>
            </w:r>
          </w:p>
        </w:tc>
        <w:tc>
          <w:tcPr>
            <w:tcW w:w="957" w:type="dxa"/>
            <w:shd w:val="clear" w:color="auto" w:fill="auto"/>
          </w:tcPr>
          <w:p>
            <w:pPr>
              <w:jc w:val="center"/>
            </w:pPr>
            <w:r>
              <w:t>20.0</w:t>
            </w:r>
          </w:p>
        </w:tc>
        <w:tc>
          <w:tcPr>
            <w:tcW w:w="957" w:type="dxa"/>
            <w:shd w:val="clear" w:color="auto" w:fill="auto"/>
          </w:tcPr>
          <w:p>
            <w:pPr>
              <w:jc w:val="center"/>
            </w:pPr>
            <w:r>
              <w:t>40.0</w:t>
            </w:r>
          </w:p>
        </w:tc>
        <w:tc>
          <w:tcPr>
            <w:tcW w:w="957" w:type="dxa"/>
            <w:shd w:val="clear" w:color="auto" w:fill="auto"/>
          </w:tcPr>
          <w:p>
            <w:pPr>
              <w:jc w:val="center"/>
            </w:pPr>
            <w:r>
              <w:t>60.0</w:t>
            </w:r>
          </w:p>
        </w:tc>
        <w:tc>
          <w:tcPr>
            <w:tcW w:w="958" w:type="dxa"/>
            <w:shd w:val="clear" w:color="auto" w:fill="auto"/>
          </w:tcPr>
          <w:p>
            <w:pPr>
              <w:jc w:val="center"/>
            </w:pPr>
            <w:r>
              <w:t>80.0</w:t>
            </w:r>
          </w:p>
        </w:tc>
        <w:tc>
          <w:tcPr>
            <w:tcW w:w="958" w:type="dxa"/>
            <w:shd w:val="clear" w:color="auto" w:fill="auto"/>
          </w:tcPr>
          <w:p>
            <w:pPr>
              <w:jc w:val="center"/>
            </w:pPr>
            <w: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MPA</w:t>
            </w:r>
          </w:p>
        </w:tc>
        <w:tc>
          <w:tcPr>
            <w:tcW w:w="957" w:type="dxa"/>
          </w:tcPr>
          <w:p>
            <w:pPr>
              <w:jc w:val="center"/>
            </w:pPr>
            <w:r>
              <w:t>1.50</w:t>
            </w:r>
          </w:p>
        </w:tc>
        <w:tc>
          <w:tcPr>
            <w:tcW w:w="957" w:type="dxa"/>
            <w:shd w:val="clear" w:color="auto" w:fill="auto"/>
          </w:tcPr>
          <w:p>
            <w:pPr>
              <w:jc w:val="center"/>
            </w:pPr>
            <w:r>
              <w:t>3.0</w:t>
            </w:r>
          </w:p>
        </w:tc>
        <w:tc>
          <w:tcPr>
            <w:tcW w:w="957" w:type="dxa"/>
            <w:shd w:val="clear" w:color="auto" w:fill="auto"/>
          </w:tcPr>
          <w:p>
            <w:pPr>
              <w:jc w:val="center"/>
            </w:pPr>
            <w:r>
              <w:t>6.0</w:t>
            </w:r>
          </w:p>
        </w:tc>
        <w:tc>
          <w:tcPr>
            <w:tcW w:w="957" w:type="dxa"/>
            <w:shd w:val="clear" w:color="auto" w:fill="auto"/>
          </w:tcPr>
          <w:p>
            <w:pPr>
              <w:jc w:val="center"/>
            </w:pPr>
            <w:r>
              <w:t>12.0</w:t>
            </w:r>
          </w:p>
        </w:tc>
        <w:tc>
          <w:tcPr>
            <w:tcW w:w="957" w:type="dxa"/>
            <w:shd w:val="clear" w:color="auto" w:fill="auto"/>
          </w:tcPr>
          <w:p>
            <w:pPr>
              <w:jc w:val="center"/>
            </w:pPr>
            <w:r>
              <w:t>18.0</w:t>
            </w:r>
          </w:p>
        </w:tc>
        <w:tc>
          <w:tcPr>
            <w:tcW w:w="958" w:type="dxa"/>
            <w:shd w:val="clear" w:color="auto" w:fill="auto"/>
          </w:tcPr>
          <w:p>
            <w:pPr>
              <w:jc w:val="center"/>
            </w:pPr>
            <w:r>
              <w:t>24.0</w:t>
            </w:r>
          </w:p>
        </w:tc>
        <w:tc>
          <w:tcPr>
            <w:tcW w:w="958" w:type="dxa"/>
            <w:shd w:val="clear" w:color="auto" w:fill="auto"/>
          </w:tcPr>
          <w:p>
            <w:pPr>
              <w:jc w:val="center"/>
            </w:pPr>
            <w: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ROC</w:t>
            </w:r>
          </w:p>
        </w:tc>
        <w:tc>
          <w:tcPr>
            <w:tcW w:w="957" w:type="dxa"/>
          </w:tcPr>
          <w:p>
            <w:pPr>
              <w:jc w:val="center"/>
            </w:pPr>
            <w:r>
              <w:t>0.50</w:t>
            </w:r>
          </w:p>
        </w:tc>
        <w:tc>
          <w:tcPr>
            <w:tcW w:w="957" w:type="dxa"/>
            <w:shd w:val="clear" w:color="auto" w:fill="auto"/>
          </w:tcPr>
          <w:p>
            <w:pPr>
              <w:jc w:val="center"/>
            </w:pPr>
            <w:r>
              <w:t>1.0</w:t>
            </w:r>
          </w:p>
        </w:tc>
        <w:tc>
          <w:tcPr>
            <w:tcW w:w="957" w:type="dxa"/>
            <w:shd w:val="clear" w:color="auto" w:fill="auto"/>
          </w:tcPr>
          <w:p>
            <w:pPr>
              <w:jc w:val="center"/>
            </w:pPr>
            <w:r>
              <w:t>2.0</w:t>
            </w:r>
          </w:p>
        </w:tc>
        <w:tc>
          <w:tcPr>
            <w:tcW w:w="957" w:type="dxa"/>
            <w:shd w:val="clear" w:color="auto" w:fill="auto"/>
          </w:tcPr>
          <w:p>
            <w:pPr>
              <w:jc w:val="center"/>
            </w:pPr>
            <w:r>
              <w:t>4.0</w:t>
            </w:r>
          </w:p>
        </w:tc>
        <w:tc>
          <w:tcPr>
            <w:tcW w:w="957" w:type="dxa"/>
            <w:shd w:val="clear" w:color="auto" w:fill="auto"/>
          </w:tcPr>
          <w:p>
            <w:pPr>
              <w:jc w:val="center"/>
            </w:pPr>
            <w:r>
              <w:t>6.0</w:t>
            </w:r>
          </w:p>
        </w:tc>
        <w:tc>
          <w:tcPr>
            <w:tcW w:w="958" w:type="dxa"/>
            <w:shd w:val="clear" w:color="auto" w:fill="auto"/>
          </w:tcPr>
          <w:p>
            <w:pPr>
              <w:jc w:val="center"/>
            </w:pPr>
            <w:r>
              <w:t>8.0</w:t>
            </w:r>
          </w:p>
        </w:tc>
        <w:tc>
          <w:tcPr>
            <w:tcW w:w="958" w:type="dxa"/>
            <w:shd w:val="clear" w:color="auto" w:fill="auto"/>
          </w:tcPr>
          <w:p>
            <w:pPr>
              <w:jc w:val="center"/>
            </w:pPr>
            <w: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OTA</w:t>
            </w:r>
          </w:p>
        </w:tc>
        <w:tc>
          <w:tcPr>
            <w:tcW w:w="957" w:type="dxa"/>
          </w:tcPr>
          <w:p>
            <w:pPr>
              <w:jc w:val="center"/>
            </w:pPr>
            <w:r>
              <w:t>0.10</w:t>
            </w:r>
          </w:p>
        </w:tc>
        <w:tc>
          <w:tcPr>
            <w:tcW w:w="957" w:type="dxa"/>
            <w:shd w:val="clear" w:color="auto" w:fill="auto"/>
          </w:tcPr>
          <w:p>
            <w:pPr>
              <w:jc w:val="center"/>
            </w:pPr>
            <w:r>
              <w:t>0.20</w:t>
            </w:r>
          </w:p>
        </w:tc>
        <w:tc>
          <w:tcPr>
            <w:tcW w:w="957" w:type="dxa"/>
            <w:shd w:val="clear" w:color="auto" w:fill="auto"/>
          </w:tcPr>
          <w:p>
            <w:pPr>
              <w:jc w:val="center"/>
            </w:pPr>
            <w:r>
              <w:t>0.40</w:t>
            </w:r>
          </w:p>
        </w:tc>
        <w:tc>
          <w:tcPr>
            <w:tcW w:w="957" w:type="dxa"/>
            <w:shd w:val="clear" w:color="auto" w:fill="auto"/>
          </w:tcPr>
          <w:p>
            <w:pPr>
              <w:jc w:val="center"/>
            </w:pPr>
            <w:r>
              <w:t>0.80</w:t>
            </w:r>
          </w:p>
        </w:tc>
        <w:tc>
          <w:tcPr>
            <w:tcW w:w="957" w:type="dxa"/>
            <w:shd w:val="clear" w:color="auto" w:fill="auto"/>
          </w:tcPr>
          <w:p>
            <w:pPr>
              <w:jc w:val="center"/>
            </w:pPr>
            <w:r>
              <w:t>1.20</w:t>
            </w:r>
          </w:p>
        </w:tc>
        <w:tc>
          <w:tcPr>
            <w:tcW w:w="958" w:type="dxa"/>
            <w:shd w:val="clear" w:color="auto" w:fill="auto"/>
          </w:tcPr>
          <w:p>
            <w:pPr>
              <w:jc w:val="center"/>
            </w:pPr>
            <w:r>
              <w:t>1.60</w:t>
            </w:r>
          </w:p>
        </w:tc>
        <w:tc>
          <w:tcPr>
            <w:tcW w:w="958" w:type="dxa"/>
            <w:shd w:val="clear" w:color="auto" w:fill="auto"/>
          </w:tcPr>
          <w:p>
            <w:pPr>
              <w:jc w:val="center"/>
            </w:pPr>
            <w: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CTV</w:t>
            </w:r>
          </w:p>
        </w:tc>
        <w:tc>
          <w:tcPr>
            <w:tcW w:w="957" w:type="dxa"/>
          </w:tcPr>
          <w:p>
            <w:pPr>
              <w:jc w:val="center"/>
            </w:pPr>
            <w:r>
              <w:t>2.0</w:t>
            </w:r>
          </w:p>
        </w:tc>
        <w:tc>
          <w:tcPr>
            <w:tcW w:w="957" w:type="dxa"/>
            <w:shd w:val="clear" w:color="auto" w:fill="auto"/>
          </w:tcPr>
          <w:p>
            <w:pPr>
              <w:jc w:val="center"/>
            </w:pPr>
            <w:r>
              <w:t>4.0</w:t>
            </w:r>
          </w:p>
        </w:tc>
        <w:tc>
          <w:tcPr>
            <w:tcW w:w="957" w:type="dxa"/>
            <w:shd w:val="clear" w:color="auto" w:fill="auto"/>
          </w:tcPr>
          <w:p>
            <w:pPr>
              <w:jc w:val="center"/>
            </w:pPr>
            <w:r>
              <w:t>8.0</w:t>
            </w:r>
          </w:p>
        </w:tc>
        <w:tc>
          <w:tcPr>
            <w:tcW w:w="957" w:type="dxa"/>
            <w:shd w:val="clear" w:color="auto" w:fill="auto"/>
          </w:tcPr>
          <w:p>
            <w:pPr>
              <w:jc w:val="center"/>
            </w:pPr>
            <w:r>
              <w:t>16.0</w:t>
            </w:r>
          </w:p>
        </w:tc>
        <w:tc>
          <w:tcPr>
            <w:tcW w:w="957" w:type="dxa"/>
            <w:shd w:val="clear" w:color="auto" w:fill="auto"/>
          </w:tcPr>
          <w:p>
            <w:pPr>
              <w:jc w:val="center"/>
            </w:pPr>
            <w:r>
              <w:t>24.0</w:t>
            </w:r>
          </w:p>
        </w:tc>
        <w:tc>
          <w:tcPr>
            <w:tcW w:w="958" w:type="dxa"/>
            <w:shd w:val="clear" w:color="auto" w:fill="auto"/>
          </w:tcPr>
          <w:p>
            <w:pPr>
              <w:jc w:val="center"/>
            </w:pPr>
            <w:r>
              <w:t>32.0</w:t>
            </w:r>
          </w:p>
        </w:tc>
        <w:tc>
          <w:tcPr>
            <w:tcW w:w="958" w:type="dxa"/>
            <w:shd w:val="clear" w:color="auto" w:fill="auto"/>
          </w:tcPr>
          <w:p>
            <w:pPr>
              <w:jc w:val="center"/>
            </w:pPr>
            <w:r>
              <w:t>40.0</w:t>
            </w:r>
          </w:p>
        </w:tc>
      </w:tr>
    </w:tbl>
    <w:p>
      <w:pPr>
        <w:spacing w:after="156" w:afterLines="50"/>
        <w:jc w:val="center"/>
        <w:rPr>
          <w:rFonts w:ascii="黑体" w:hAnsi="黑体" w:eastAsia="黑体"/>
          <w:szCs w:val="21"/>
        </w:rPr>
      </w:pPr>
      <w:r>
        <w:rPr>
          <w:rFonts w:ascii="黑体" w:hAnsi="黑体" w:eastAsia="黑体"/>
          <w:szCs w:val="21"/>
        </w:rPr>
        <w:t>表</w:t>
      </w:r>
      <w:r>
        <w:rPr>
          <w:rFonts w:hint="eastAsia" w:ascii="黑体" w:hAnsi="黑体" w:eastAsia="黑体"/>
          <w:szCs w:val="21"/>
        </w:rPr>
        <w:t>B</w:t>
      </w:r>
      <w:r>
        <w:rPr>
          <w:rFonts w:ascii="黑体" w:hAnsi="黑体" w:eastAsia="黑体"/>
          <w:szCs w:val="21"/>
        </w:rPr>
        <w:t xml:space="preserve">.6 </w:t>
      </w:r>
      <w:r>
        <w:rPr>
          <w:rFonts w:hint="eastAsia" w:ascii="黑体" w:hAnsi="黑体" w:eastAsia="黑体"/>
          <w:szCs w:val="21"/>
        </w:rPr>
        <w:t>饲料基质匹配标准曲线溶液浓度</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8"/>
        <w:gridCol w:w="957"/>
        <w:gridCol w:w="957"/>
        <w:gridCol w:w="957"/>
        <w:gridCol w:w="957"/>
        <w:gridCol w:w="957"/>
        <w:gridCol w:w="958"/>
        <w:gridCol w:w="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tblHeader/>
          <w:jc w:val="center"/>
        </w:trPr>
        <w:tc>
          <w:tcPr>
            <w:tcW w:w="1558" w:type="dxa"/>
            <w:vMerge w:val="restart"/>
            <w:shd w:val="clear" w:color="auto" w:fill="auto"/>
            <w:vAlign w:val="center"/>
          </w:tcPr>
          <w:p>
            <w:pPr>
              <w:jc w:val="center"/>
            </w:pPr>
            <w:r>
              <w:t>毒素名称</w:t>
            </w:r>
          </w:p>
        </w:tc>
        <w:tc>
          <w:tcPr>
            <w:tcW w:w="6701" w:type="dxa"/>
            <w:gridSpan w:val="7"/>
          </w:tcPr>
          <w:p>
            <w:pPr>
              <w:jc w:val="center"/>
            </w:pPr>
            <w:r>
              <w:t>浓度（μg/L）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blHeader/>
          <w:jc w:val="center"/>
        </w:trPr>
        <w:tc>
          <w:tcPr>
            <w:tcW w:w="1558" w:type="dxa"/>
            <w:vMerge w:val="continue"/>
            <w:shd w:val="clear" w:color="auto" w:fill="auto"/>
          </w:tcPr>
          <w:p>
            <w:pPr>
              <w:jc w:val="center"/>
            </w:pPr>
          </w:p>
        </w:tc>
        <w:tc>
          <w:tcPr>
            <w:tcW w:w="957" w:type="dxa"/>
          </w:tcPr>
          <w:p>
            <w:pPr>
              <w:jc w:val="center"/>
            </w:pPr>
            <w:r>
              <w:t>标曲点1</w:t>
            </w:r>
          </w:p>
        </w:tc>
        <w:tc>
          <w:tcPr>
            <w:tcW w:w="957" w:type="dxa"/>
            <w:shd w:val="clear" w:color="auto" w:fill="auto"/>
          </w:tcPr>
          <w:p>
            <w:pPr>
              <w:jc w:val="center"/>
            </w:pPr>
            <w:r>
              <w:t>标曲点2</w:t>
            </w:r>
          </w:p>
        </w:tc>
        <w:tc>
          <w:tcPr>
            <w:tcW w:w="957" w:type="dxa"/>
            <w:shd w:val="clear" w:color="auto" w:fill="auto"/>
          </w:tcPr>
          <w:p>
            <w:pPr>
              <w:jc w:val="center"/>
            </w:pPr>
            <w:r>
              <w:t>标曲点3</w:t>
            </w:r>
          </w:p>
        </w:tc>
        <w:tc>
          <w:tcPr>
            <w:tcW w:w="957" w:type="dxa"/>
            <w:shd w:val="clear" w:color="auto" w:fill="auto"/>
          </w:tcPr>
          <w:p>
            <w:pPr>
              <w:jc w:val="center"/>
            </w:pPr>
            <w:r>
              <w:t>标曲点4</w:t>
            </w:r>
          </w:p>
        </w:tc>
        <w:tc>
          <w:tcPr>
            <w:tcW w:w="957" w:type="dxa"/>
            <w:shd w:val="clear" w:color="auto" w:fill="auto"/>
          </w:tcPr>
          <w:p>
            <w:pPr>
              <w:jc w:val="center"/>
            </w:pPr>
            <w:r>
              <w:t>标曲点5</w:t>
            </w:r>
          </w:p>
        </w:tc>
        <w:tc>
          <w:tcPr>
            <w:tcW w:w="958" w:type="dxa"/>
            <w:shd w:val="clear" w:color="auto" w:fill="auto"/>
          </w:tcPr>
          <w:p>
            <w:pPr>
              <w:jc w:val="center"/>
            </w:pPr>
            <w:r>
              <w:t>标曲点6</w:t>
            </w:r>
          </w:p>
        </w:tc>
        <w:tc>
          <w:tcPr>
            <w:tcW w:w="958" w:type="dxa"/>
            <w:shd w:val="clear" w:color="auto" w:fill="auto"/>
          </w:tcPr>
          <w:p>
            <w:pPr>
              <w:jc w:val="center"/>
            </w:pPr>
            <w:r>
              <w:t>标曲点7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558" w:type="dxa"/>
            <w:shd w:val="clear" w:color="auto" w:fill="auto"/>
          </w:tcPr>
          <w:p>
            <w:pPr>
              <w:jc w:val="center"/>
            </w:pPr>
            <w:r>
              <w:t>PA</w:t>
            </w:r>
          </w:p>
        </w:tc>
        <w:tc>
          <w:tcPr>
            <w:tcW w:w="957" w:type="dxa"/>
          </w:tcPr>
          <w:p>
            <w:pPr>
              <w:jc w:val="center"/>
            </w:pPr>
            <w:r>
              <w:t>1.50</w:t>
            </w:r>
          </w:p>
        </w:tc>
        <w:tc>
          <w:tcPr>
            <w:tcW w:w="957" w:type="dxa"/>
            <w:shd w:val="clear" w:color="auto" w:fill="auto"/>
          </w:tcPr>
          <w:p>
            <w:pPr>
              <w:jc w:val="center"/>
            </w:pPr>
            <w:r>
              <w:t>3.0</w:t>
            </w:r>
          </w:p>
        </w:tc>
        <w:tc>
          <w:tcPr>
            <w:tcW w:w="957" w:type="dxa"/>
            <w:shd w:val="clear" w:color="auto" w:fill="auto"/>
          </w:tcPr>
          <w:p>
            <w:pPr>
              <w:jc w:val="center"/>
            </w:pPr>
            <w:r>
              <w:t>6.0</w:t>
            </w:r>
          </w:p>
        </w:tc>
        <w:tc>
          <w:tcPr>
            <w:tcW w:w="957" w:type="dxa"/>
            <w:shd w:val="clear" w:color="auto" w:fill="auto"/>
          </w:tcPr>
          <w:p>
            <w:pPr>
              <w:jc w:val="center"/>
            </w:pPr>
            <w:r>
              <w:t>12.0</w:t>
            </w:r>
          </w:p>
        </w:tc>
        <w:tc>
          <w:tcPr>
            <w:tcW w:w="957" w:type="dxa"/>
            <w:shd w:val="clear" w:color="auto" w:fill="auto"/>
          </w:tcPr>
          <w:p>
            <w:pPr>
              <w:jc w:val="center"/>
            </w:pPr>
            <w:r>
              <w:t>18.0</w:t>
            </w:r>
          </w:p>
        </w:tc>
        <w:tc>
          <w:tcPr>
            <w:tcW w:w="958" w:type="dxa"/>
            <w:shd w:val="clear" w:color="auto" w:fill="auto"/>
          </w:tcPr>
          <w:p>
            <w:pPr>
              <w:jc w:val="center"/>
            </w:pPr>
            <w:r>
              <w:t>24.0</w:t>
            </w:r>
          </w:p>
        </w:tc>
        <w:tc>
          <w:tcPr>
            <w:tcW w:w="958" w:type="dxa"/>
            <w:shd w:val="clear" w:color="auto" w:fill="auto"/>
          </w:tcPr>
          <w:p>
            <w:pPr>
              <w:jc w:val="center"/>
            </w:pPr>
            <w: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CIT</w:t>
            </w:r>
          </w:p>
        </w:tc>
        <w:tc>
          <w:tcPr>
            <w:tcW w:w="957" w:type="dxa"/>
          </w:tcPr>
          <w:p>
            <w:pPr>
              <w:jc w:val="center"/>
            </w:pPr>
            <w:r>
              <w:t>5.0</w:t>
            </w:r>
          </w:p>
        </w:tc>
        <w:tc>
          <w:tcPr>
            <w:tcW w:w="957" w:type="dxa"/>
            <w:shd w:val="clear" w:color="auto" w:fill="auto"/>
          </w:tcPr>
          <w:p>
            <w:pPr>
              <w:jc w:val="center"/>
            </w:pPr>
            <w:r>
              <w:t>10.0</w:t>
            </w:r>
          </w:p>
        </w:tc>
        <w:tc>
          <w:tcPr>
            <w:tcW w:w="957" w:type="dxa"/>
            <w:shd w:val="clear" w:color="auto" w:fill="auto"/>
          </w:tcPr>
          <w:p>
            <w:pPr>
              <w:jc w:val="center"/>
            </w:pPr>
            <w:r>
              <w:t>20.0</w:t>
            </w:r>
          </w:p>
        </w:tc>
        <w:tc>
          <w:tcPr>
            <w:tcW w:w="957" w:type="dxa"/>
            <w:shd w:val="clear" w:color="auto" w:fill="auto"/>
          </w:tcPr>
          <w:p>
            <w:pPr>
              <w:jc w:val="center"/>
            </w:pPr>
            <w:r>
              <w:t>40.0</w:t>
            </w:r>
          </w:p>
        </w:tc>
        <w:tc>
          <w:tcPr>
            <w:tcW w:w="957" w:type="dxa"/>
            <w:shd w:val="clear" w:color="auto" w:fill="auto"/>
          </w:tcPr>
          <w:p>
            <w:pPr>
              <w:jc w:val="center"/>
            </w:pPr>
            <w:r>
              <w:t>60.0</w:t>
            </w:r>
          </w:p>
        </w:tc>
        <w:tc>
          <w:tcPr>
            <w:tcW w:w="958" w:type="dxa"/>
            <w:shd w:val="clear" w:color="auto" w:fill="auto"/>
          </w:tcPr>
          <w:p>
            <w:pPr>
              <w:jc w:val="center"/>
            </w:pPr>
            <w:r>
              <w:t>80.0</w:t>
            </w:r>
          </w:p>
        </w:tc>
        <w:tc>
          <w:tcPr>
            <w:tcW w:w="958" w:type="dxa"/>
            <w:shd w:val="clear" w:color="auto" w:fill="auto"/>
          </w:tcPr>
          <w:p>
            <w:pPr>
              <w:jc w:val="center"/>
            </w:pPr>
            <w: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MPA</w:t>
            </w:r>
          </w:p>
        </w:tc>
        <w:tc>
          <w:tcPr>
            <w:tcW w:w="957" w:type="dxa"/>
          </w:tcPr>
          <w:p>
            <w:pPr>
              <w:jc w:val="center"/>
            </w:pPr>
            <w:r>
              <w:t>1.50</w:t>
            </w:r>
          </w:p>
        </w:tc>
        <w:tc>
          <w:tcPr>
            <w:tcW w:w="957" w:type="dxa"/>
            <w:shd w:val="clear" w:color="auto" w:fill="auto"/>
          </w:tcPr>
          <w:p>
            <w:pPr>
              <w:jc w:val="center"/>
            </w:pPr>
            <w:r>
              <w:t>3.0</w:t>
            </w:r>
          </w:p>
        </w:tc>
        <w:tc>
          <w:tcPr>
            <w:tcW w:w="957" w:type="dxa"/>
            <w:shd w:val="clear" w:color="auto" w:fill="auto"/>
          </w:tcPr>
          <w:p>
            <w:pPr>
              <w:jc w:val="center"/>
            </w:pPr>
            <w:r>
              <w:t>6.0</w:t>
            </w:r>
          </w:p>
        </w:tc>
        <w:tc>
          <w:tcPr>
            <w:tcW w:w="957" w:type="dxa"/>
            <w:shd w:val="clear" w:color="auto" w:fill="auto"/>
          </w:tcPr>
          <w:p>
            <w:pPr>
              <w:jc w:val="center"/>
            </w:pPr>
            <w:r>
              <w:t>12.0</w:t>
            </w:r>
          </w:p>
        </w:tc>
        <w:tc>
          <w:tcPr>
            <w:tcW w:w="957" w:type="dxa"/>
            <w:shd w:val="clear" w:color="auto" w:fill="auto"/>
          </w:tcPr>
          <w:p>
            <w:pPr>
              <w:jc w:val="center"/>
            </w:pPr>
            <w:r>
              <w:t>18.0</w:t>
            </w:r>
          </w:p>
        </w:tc>
        <w:tc>
          <w:tcPr>
            <w:tcW w:w="958" w:type="dxa"/>
            <w:shd w:val="clear" w:color="auto" w:fill="auto"/>
          </w:tcPr>
          <w:p>
            <w:pPr>
              <w:jc w:val="center"/>
            </w:pPr>
            <w:r>
              <w:t>24.0</w:t>
            </w:r>
          </w:p>
        </w:tc>
        <w:tc>
          <w:tcPr>
            <w:tcW w:w="958" w:type="dxa"/>
            <w:shd w:val="clear" w:color="auto" w:fill="auto"/>
          </w:tcPr>
          <w:p>
            <w:pPr>
              <w:jc w:val="center"/>
            </w:pPr>
            <w: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ROC</w:t>
            </w:r>
          </w:p>
        </w:tc>
        <w:tc>
          <w:tcPr>
            <w:tcW w:w="957" w:type="dxa"/>
          </w:tcPr>
          <w:p>
            <w:pPr>
              <w:jc w:val="center"/>
            </w:pPr>
            <w:r>
              <w:t>0.50</w:t>
            </w:r>
          </w:p>
        </w:tc>
        <w:tc>
          <w:tcPr>
            <w:tcW w:w="957" w:type="dxa"/>
            <w:shd w:val="clear" w:color="auto" w:fill="auto"/>
          </w:tcPr>
          <w:p>
            <w:pPr>
              <w:jc w:val="center"/>
            </w:pPr>
            <w:r>
              <w:t>1.0</w:t>
            </w:r>
          </w:p>
        </w:tc>
        <w:tc>
          <w:tcPr>
            <w:tcW w:w="957" w:type="dxa"/>
            <w:shd w:val="clear" w:color="auto" w:fill="auto"/>
          </w:tcPr>
          <w:p>
            <w:pPr>
              <w:jc w:val="center"/>
            </w:pPr>
            <w:r>
              <w:t>2.0</w:t>
            </w:r>
          </w:p>
        </w:tc>
        <w:tc>
          <w:tcPr>
            <w:tcW w:w="957" w:type="dxa"/>
            <w:shd w:val="clear" w:color="auto" w:fill="auto"/>
          </w:tcPr>
          <w:p>
            <w:pPr>
              <w:jc w:val="center"/>
            </w:pPr>
            <w:r>
              <w:t>4.0</w:t>
            </w:r>
          </w:p>
        </w:tc>
        <w:tc>
          <w:tcPr>
            <w:tcW w:w="957" w:type="dxa"/>
            <w:shd w:val="clear" w:color="auto" w:fill="auto"/>
          </w:tcPr>
          <w:p>
            <w:pPr>
              <w:jc w:val="center"/>
            </w:pPr>
            <w:r>
              <w:t>6.0</w:t>
            </w:r>
          </w:p>
        </w:tc>
        <w:tc>
          <w:tcPr>
            <w:tcW w:w="958" w:type="dxa"/>
            <w:shd w:val="clear" w:color="auto" w:fill="auto"/>
          </w:tcPr>
          <w:p>
            <w:pPr>
              <w:jc w:val="center"/>
            </w:pPr>
            <w:r>
              <w:t>8.0</w:t>
            </w:r>
          </w:p>
        </w:tc>
        <w:tc>
          <w:tcPr>
            <w:tcW w:w="958" w:type="dxa"/>
            <w:shd w:val="clear" w:color="auto" w:fill="auto"/>
          </w:tcPr>
          <w:p>
            <w:pPr>
              <w:jc w:val="center"/>
            </w:pPr>
            <w: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OTA</w:t>
            </w:r>
          </w:p>
        </w:tc>
        <w:tc>
          <w:tcPr>
            <w:tcW w:w="957" w:type="dxa"/>
          </w:tcPr>
          <w:p>
            <w:pPr>
              <w:jc w:val="center"/>
            </w:pPr>
            <w:r>
              <w:t>0.15</w:t>
            </w:r>
          </w:p>
        </w:tc>
        <w:tc>
          <w:tcPr>
            <w:tcW w:w="957" w:type="dxa"/>
            <w:shd w:val="clear" w:color="auto" w:fill="auto"/>
          </w:tcPr>
          <w:p>
            <w:pPr>
              <w:jc w:val="center"/>
            </w:pPr>
            <w:r>
              <w:t>0.30</w:t>
            </w:r>
          </w:p>
        </w:tc>
        <w:tc>
          <w:tcPr>
            <w:tcW w:w="957" w:type="dxa"/>
            <w:shd w:val="clear" w:color="auto" w:fill="auto"/>
          </w:tcPr>
          <w:p>
            <w:pPr>
              <w:jc w:val="center"/>
            </w:pPr>
            <w:r>
              <w:t>0.60</w:t>
            </w:r>
          </w:p>
        </w:tc>
        <w:tc>
          <w:tcPr>
            <w:tcW w:w="957" w:type="dxa"/>
            <w:shd w:val="clear" w:color="auto" w:fill="auto"/>
          </w:tcPr>
          <w:p>
            <w:pPr>
              <w:jc w:val="center"/>
            </w:pPr>
            <w:r>
              <w:t>1.20</w:t>
            </w:r>
          </w:p>
        </w:tc>
        <w:tc>
          <w:tcPr>
            <w:tcW w:w="957" w:type="dxa"/>
            <w:shd w:val="clear" w:color="auto" w:fill="auto"/>
          </w:tcPr>
          <w:p>
            <w:pPr>
              <w:jc w:val="center"/>
            </w:pPr>
            <w:r>
              <w:t>1.80</w:t>
            </w:r>
          </w:p>
        </w:tc>
        <w:tc>
          <w:tcPr>
            <w:tcW w:w="958" w:type="dxa"/>
            <w:shd w:val="clear" w:color="auto" w:fill="auto"/>
          </w:tcPr>
          <w:p>
            <w:pPr>
              <w:jc w:val="center"/>
            </w:pPr>
            <w:r>
              <w:t>2.40</w:t>
            </w:r>
          </w:p>
        </w:tc>
        <w:tc>
          <w:tcPr>
            <w:tcW w:w="958" w:type="dxa"/>
            <w:shd w:val="clear" w:color="auto" w:fill="auto"/>
          </w:tcPr>
          <w:p>
            <w:pPr>
              <w:jc w:val="center"/>
            </w:pPr>
            <w: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auto" w:fill="auto"/>
          </w:tcPr>
          <w:p>
            <w:pPr>
              <w:jc w:val="center"/>
            </w:pPr>
            <w:r>
              <w:t>CTV</w:t>
            </w:r>
          </w:p>
        </w:tc>
        <w:tc>
          <w:tcPr>
            <w:tcW w:w="957" w:type="dxa"/>
          </w:tcPr>
          <w:p>
            <w:pPr>
              <w:jc w:val="center"/>
            </w:pPr>
            <w:r>
              <w:t>2.0</w:t>
            </w:r>
          </w:p>
        </w:tc>
        <w:tc>
          <w:tcPr>
            <w:tcW w:w="957" w:type="dxa"/>
            <w:shd w:val="clear" w:color="auto" w:fill="auto"/>
          </w:tcPr>
          <w:p>
            <w:pPr>
              <w:jc w:val="center"/>
            </w:pPr>
            <w:r>
              <w:t>4.0</w:t>
            </w:r>
          </w:p>
        </w:tc>
        <w:tc>
          <w:tcPr>
            <w:tcW w:w="957" w:type="dxa"/>
            <w:shd w:val="clear" w:color="auto" w:fill="auto"/>
          </w:tcPr>
          <w:p>
            <w:pPr>
              <w:jc w:val="center"/>
            </w:pPr>
            <w:r>
              <w:t>8.0</w:t>
            </w:r>
          </w:p>
        </w:tc>
        <w:tc>
          <w:tcPr>
            <w:tcW w:w="957" w:type="dxa"/>
            <w:shd w:val="clear" w:color="auto" w:fill="auto"/>
          </w:tcPr>
          <w:p>
            <w:pPr>
              <w:jc w:val="center"/>
            </w:pPr>
            <w:r>
              <w:t>16.0</w:t>
            </w:r>
          </w:p>
        </w:tc>
        <w:tc>
          <w:tcPr>
            <w:tcW w:w="957" w:type="dxa"/>
            <w:shd w:val="clear" w:color="auto" w:fill="auto"/>
          </w:tcPr>
          <w:p>
            <w:pPr>
              <w:jc w:val="center"/>
            </w:pPr>
            <w:r>
              <w:t>24.0</w:t>
            </w:r>
          </w:p>
        </w:tc>
        <w:tc>
          <w:tcPr>
            <w:tcW w:w="958" w:type="dxa"/>
            <w:shd w:val="clear" w:color="auto" w:fill="auto"/>
          </w:tcPr>
          <w:p>
            <w:pPr>
              <w:jc w:val="center"/>
            </w:pPr>
            <w:r>
              <w:t>32.0</w:t>
            </w:r>
          </w:p>
        </w:tc>
        <w:tc>
          <w:tcPr>
            <w:tcW w:w="958" w:type="dxa"/>
            <w:shd w:val="clear" w:color="auto" w:fill="auto"/>
          </w:tcPr>
          <w:p>
            <w:pPr>
              <w:jc w:val="center"/>
            </w:pPr>
            <w:r>
              <w:t>40.0</w:t>
            </w:r>
          </w:p>
        </w:tc>
      </w:tr>
    </w:tbl>
    <w:p>
      <w:pPr>
        <w:pStyle w:val="28"/>
        <w:rPr>
          <w:rFonts w:ascii="黑体" w:hAnsi="黑体" w:eastAsia="黑体"/>
          <w:sz w:val="21"/>
          <w:szCs w:val="21"/>
        </w:rPr>
      </w:pPr>
      <w:r>
        <w:rPr>
          <w:rFonts w:hint="eastAsia" w:ascii="黑体" w:hAnsi="黑体" w:eastAsia="黑体"/>
          <w:sz w:val="21"/>
          <w:szCs w:val="21"/>
        </w:rPr>
        <w:t xml:space="preserve">附 </w:t>
      </w:r>
      <w:r>
        <w:rPr>
          <w:rFonts w:ascii="黑体" w:hAnsi="黑体" w:eastAsia="黑体"/>
          <w:sz w:val="21"/>
          <w:szCs w:val="21"/>
        </w:rPr>
        <w:t xml:space="preserve"> </w:t>
      </w:r>
      <w:r>
        <w:rPr>
          <w:rFonts w:hint="eastAsia" w:ascii="黑体" w:hAnsi="黑体" w:eastAsia="黑体"/>
          <w:sz w:val="21"/>
          <w:szCs w:val="21"/>
        </w:rPr>
        <w:t xml:space="preserve">录 </w:t>
      </w:r>
      <w:r>
        <w:rPr>
          <w:rFonts w:ascii="黑体" w:hAnsi="黑体" w:eastAsia="黑体"/>
          <w:sz w:val="21"/>
          <w:szCs w:val="21"/>
        </w:rPr>
        <w:t xml:space="preserve"> </w:t>
      </w:r>
      <w:r>
        <w:rPr>
          <w:rFonts w:hint="eastAsia" w:ascii="黑体" w:hAnsi="黑体" w:eastAsia="黑体"/>
          <w:sz w:val="21"/>
          <w:szCs w:val="21"/>
        </w:rPr>
        <w:t>C</w:t>
      </w:r>
    </w:p>
    <w:p>
      <w:pPr>
        <w:jc w:val="center"/>
        <w:rPr>
          <w:rFonts w:ascii="黑体" w:hAnsi="黑体" w:eastAsia="黑体"/>
          <w:szCs w:val="21"/>
        </w:rPr>
      </w:pPr>
      <w:r>
        <w:rPr>
          <w:rFonts w:hint="eastAsia" w:ascii="黑体" w:hAnsi="黑体" w:eastAsia="黑体"/>
          <w:szCs w:val="21"/>
        </w:rPr>
        <w:t>（资料性附录）</w:t>
      </w:r>
    </w:p>
    <w:p>
      <w:pPr>
        <w:spacing w:after="156" w:afterLines="50"/>
        <w:jc w:val="center"/>
        <w:rPr>
          <w:rFonts w:ascii="黑体" w:hAnsi="黑体" w:eastAsia="黑体"/>
          <w:szCs w:val="21"/>
        </w:rPr>
      </w:pPr>
      <w:r>
        <w:rPr>
          <w:rFonts w:hint="eastAsia" w:ascii="黑体" w:hAnsi="黑体" w:eastAsia="黑体"/>
          <w:szCs w:val="21"/>
        </w:rPr>
        <w:t>液相色谱-串联质谱仪参考条件</w:t>
      </w:r>
    </w:p>
    <w:p>
      <w:pPr>
        <w:spacing w:after="156" w:afterLines="50"/>
        <w:rPr>
          <w:rFonts w:ascii="黑体" w:hAnsi="黑体" w:eastAsia="黑体"/>
          <w:szCs w:val="21"/>
        </w:rPr>
      </w:pPr>
      <w:r>
        <w:rPr>
          <w:rFonts w:hint="eastAsia" w:ascii="黑体" w:hAnsi="黑体" w:eastAsia="黑体"/>
          <w:szCs w:val="21"/>
        </w:rPr>
        <w:t>C</w:t>
      </w:r>
      <w:r>
        <w:rPr>
          <w:rFonts w:ascii="黑体" w:hAnsi="黑体" w:eastAsia="黑体"/>
          <w:szCs w:val="21"/>
        </w:rPr>
        <w:t xml:space="preserve">.1 </w:t>
      </w:r>
      <w:r>
        <w:rPr>
          <w:rFonts w:hint="eastAsia" w:ascii="黑体" w:hAnsi="黑体" w:eastAsia="黑体"/>
          <w:szCs w:val="21"/>
        </w:rPr>
        <w:t>液相色谱参考条件</w:t>
      </w:r>
    </w:p>
    <w:p>
      <w:pPr>
        <w:spacing w:after="156" w:afterLines="50"/>
        <w:ind w:firstLine="420" w:firstLineChars="200"/>
        <w:rPr>
          <w:szCs w:val="21"/>
        </w:rPr>
      </w:pPr>
      <w:r>
        <w:rPr>
          <w:rFonts w:hint="eastAsia" w:ascii="宋体" w:hAnsi="宋体"/>
          <w:szCs w:val="21"/>
        </w:rPr>
        <w:t>流动相组成：</w:t>
      </w:r>
      <w:r>
        <w:rPr>
          <w:szCs w:val="21"/>
        </w:rPr>
        <w:t>A</w:t>
      </w:r>
      <w:r>
        <w:rPr>
          <w:rFonts w:hint="eastAsia"/>
          <w:szCs w:val="21"/>
        </w:rPr>
        <w:t>：</w:t>
      </w:r>
      <w:r>
        <w:rPr>
          <w:szCs w:val="21"/>
        </w:rPr>
        <w:t>0.1%甲酸水溶液；B：甲醇。</w:t>
      </w:r>
    </w:p>
    <w:p>
      <w:pPr>
        <w:spacing w:after="156" w:afterLines="50"/>
        <w:ind w:firstLine="420" w:firstLineChars="200"/>
        <w:rPr>
          <w:szCs w:val="21"/>
        </w:rPr>
      </w:pPr>
      <w:r>
        <w:rPr>
          <w:szCs w:val="21"/>
        </w:rPr>
        <w:t>流动相参考梯度洗脱条件见表C.1。</w:t>
      </w:r>
    </w:p>
    <w:p>
      <w:pPr>
        <w:spacing w:after="156" w:afterLines="50"/>
        <w:jc w:val="center"/>
        <w:rPr>
          <w:rFonts w:ascii="黑体" w:hAnsi="黑体" w:eastAsia="黑体"/>
          <w:szCs w:val="21"/>
        </w:rPr>
      </w:pPr>
      <w:bookmarkStart w:id="73" w:name="_Hlk81482850"/>
      <w:r>
        <w:rPr>
          <w:rFonts w:hint="eastAsia" w:ascii="黑体" w:hAnsi="黑体" w:eastAsia="黑体"/>
          <w:szCs w:val="21"/>
        </w:rPr>
        <w:t>表C</w:t>
      </w:r>
      <w:r>
        <w:rPr>
          <w:rFonts w:ascii="黑体" w:hAnsi="黑体" w:eastAsia="黑体"/>
          <w:szCs w:val="21"/>
        </w:rPr>
        <w:t xml:space="preserve">.1 </w:t>
      </w:r>
      <w:r>
        <w:rPr>
          <w:rFonts w:hint="eastAsia" w:ascii="黑体" w:hAnsi="黑体" w:eastAsia="黑体"/>
          <w:szCs w:val="21"/>
        </w:rPr>
        <w:t>流动相梯度洗脱条件</w:t>
      </w:r>
    </w:p>
    <w:bookmarkEnd w:id="73"/>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0"/>
        <w:gridCol w:w="2413"/>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430" w:type="dxa"/>
            <w:tcBorders>
              <w:right w:val="single" w:color="auto" w:sz="4" w:space="0"/>
            </w:tcBorders>
            <w:shd w:val="clear" w:color="auto" w:fill="auto"/>
          </w:tcPr>
          <w:p>
            <w:pPr>
              <w:rPr>
                <w:szCs w:val="21"/>
              </w:rPr>
            </w:pPr>
            <w:bookmarkStart w:id="74" w:name="_Hlk85202966"/>
            <w:r>
              <w:rPr>
                <w:szCs w:val="21"/>
              </w:rPr>
              <w:t>时间</w:t>
            </w:r>
            <w:r>
              <w:rPr>
                <w:rFonts w:hint="eastAsia"/>
                <w:szCs w:val="21"/>
              </w:rPr>
              <w:t>（</w:t>
            </w:r>
            <w:r>
              <w:rPr>
                <w:szCs w:val="21"/>
              </w:rPr>
              <w:t>min</w:t>
            </w:r>
            <w:r>
              <w:rPr>
                <w:rFonts w:hint="eastAsia"/>
                <w:szCs w:val="21"/>
              </w:rPr>
              <w:t>）</w:t>
            </w:r>
          </w:p>
        </w:tc>
        <w:tc>
          <w:tcPr>
            <w:tcW w:w="2413" w:type="dxa"/>
            <w:tcBorders>
              <w:left w:val="single" w:color="auto" w:sz="4" w:space="0"/>
            </w:tcBorders>
            <w:shd w:val="clear" w:color="auto" w:fill="auto"/>
          </w:tcPr>
          <w:p>
            <w:pPr>
              <w:rPr>
                <w:szCs w:val="21"/>
              </w:rPr>
            </w:pPr>
            <w:r>
              <w:rPr>
                <w:szCs w:val="21"/>
              </w:rPr>
              <w:t>流动相A</w:t>
            </w:r>
            <w:r>
              <w:rPr>
                <w:rFonts w:hint="eastAsia"/>
                <w:szCs w:val="21"/>
              </w:rPr>
              <w:t>（</w:t>
            </w:r>
            <w:r>
              <w:rPr>
                <w:szCs w:val="21"/>
              </w:rPr>
              <w:t>%</w:t>
            </w:r>
            <w:r>
              <w:rPr>
                <w:rFonts w:hint="eastAsia"/>
                <w:szCs w:val="21"/>
              </w:rPr>
              <w:t>）</w:t>
            </w:r>
          </w:p>
        </w:tc>
        <w:tc>
          <w:tcPr>
            <w:tcW w:w="2409" w:type="dxa"/>
            <w:shd w:val="clear" w:color="auto" w:fill="auto"/>
          </w:tcPr>
          <w:p>
            <w:pPr>
              <w:rPr>
                <w:szCs w:val="21"/>
              </w:rPr>
            </w:pPr>
            <w:r>
              <w:rPr>
                <w:szCs w:val="21"/>
              </w:rPr>
              <w:t>流动相B</w:t>
            </w:r>
            <w:r>
              <w:rPr>
                <w:rFonts w:hint="eastAsia"/>
                <w:szCs w:val="21"/>
              </w:rPr>
              <w:t>（</w:t>
            </w:r>
            <w:r>
              <w:rPr>
                <w:szCs w:val="21"/>
              </w:rPr>
              <w:t>%</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szCs w:val="21"/>
              </w:rPr>
              <w:t>0.00</w:t>
            </w:r>
          </w:p>
        </w:tc>
        <w:tc>
          <w:tcPr>
            <w:tcW w:w="2413" w:type="dxa"/>
            <w:shd w:val="clear" w:color="auto" w:fill="auto"/>
          </w:tcPr>
          <w:p>
            <w:pPr>
              <w:rPr>
                <w:szCs w:val="21"/>
              </w:rPr>
            </w:pPr>
            <w:r>
              <w:rPr>
                <w:szCs w:val="21"/>
              </w:rPr>
              <w:t>98</w:t>
            </w:r>
          </w:p>
        </w:tc>
        <w:tc>
          <w:tcPr>
            <w:tcW w:w="2409" w:type="dxa"/>
            <w:shd w:val="clear" w:color="auto" w:fill="auto"/>
          </w:tcPr>
          <w:p>
            <w:pPr>
              <w:rPr>
                <w:szCs w:val="21"/>
              </w:rPr>
            </w:pPr>
            <w:r>
              <w:rPr>
                <w:rFonts w:hint="eastAsia"/>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szCs w:val="21"/>
              </w:rPr>
              <w:t>0.5</w:t>
            </w:r>
            <w:r>
              <w:rPr>
                <w:rFonts w:hint="eastAsia"/>
                <w:szCs w:val="21"/>
              </w:rPr>
              <w:t>0</w:t>
            </w:r>
          </w:p>
        </w:tc>
        <w:tc>
          <w:tcPr>
            <w:tcW w:w="2413" w:type="dxa"/>
            <w:shd w:val="clear" w:color="auto" w:fill="auto"/>
          </w:tcPr>
          <w:p>
            <w:pPr>
              <w:rPr>
                <w:szCs w:val="21"/>
              </w:rPr>
            </w:pPr>
            <w:r>
              <w:rPr>
                <w:rFonts w:hint="eastAsia"/>
                <w:szCs w:val="21"/>
              </w:rPr>
              <w:t>9</w:t>
            </w:r>
            <w:r>
              <w:rPr>
                <w:szCs w:val="21"/>
              </w:rPr>
              <w:t>8</w:t>
            </w:r>
          </w:p>
        </w:tc>
        <w:tc>
          <w:tcPr>
            <w:tcW w:w="2409" w:type="dxa"/>
            <w:shd w:val="clear" w:color="auto" w:fill="auto"/>
          </w:tcPr>
          <w:p>
            <w:pPr>
              <w:rPr>
                <w:szCs w:val="21"/>
              </w:rPr>
            </w:pPr>
            <w:r>
              <w:rPr>
                <w:rFonts w:hint="eastAsia"/>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szCs w:val="21"/>
              </w:rPr>
              <w:t>5.00</w:t>
            </w:r>
          </w:p>
        </w:tc>
        <w:tc>
          <w:tcPr>
            <w:tcW w:w="2413" w:type="dxa"/>
            <w:shd w:val="clear" w:color="auto" w:fill="auto"/>
          </w:tcPr>
          <w:p>
            <w:pPr>
              <w:rPr>
                <w:szCs w:val="21"/>
              </w:rPr>
            </w:pPr>
            <w:r>
              <w:rPr>
                <w:rFonts w:hint="eastAsia"/>
                <w:szCs w:val="21"/>
              </w:rPr>
              <w:t>1</w:t>
            </w:r>
          </w:p>
        </w:tc>
        <w:tc>
          <w:tcPr>
            <w:tcW w:w="2409" w:type="dxa"/>
            <w:shd w:val="clear" w:color="auto" w:fill="auto"/>
          </w:tcPr>
          <w:p>
            <w:pPr>
              <w:rPr>
                <w:szCs w:val="21"/>
              </w:rPr>
            </w:pPr>
            <w:r>
              <w:rPr>
                <w:rFonts w:hint="eastAsia"/>
                <w:szCs w:val="21"/>
              </w:rPr>
              <w:t>9</w:t>
            </w:r>
            <w:r>
              <w:rPr>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szCs w:val="21"/>
              </w:rPr>
              <w:t>7.00</w:t>
            </w:r>
          </w:p>
        </w:tc>
        <w:tc>
          <w:tcPr>
            <w:tcW w:w="2413" w:type="dxa"/>
            <w:shd w:val="clear" w:color="auto" w:fill="auto"/>
          </w:tcPr>
          <w:p>
            <w:pPr>
              <w:rPr>
                <w:szCs w:val="21"/>
              </w:rPr>
            </w:pPr>
            <w:r>
              <w:rPr>
                <w:szCs w:val="21"/>
              </w:rPr>
              <w:t>1</w:t>
            </w:r>
          </w:p>
        </w:tc>
        <w:tc>
          <w:tcPr>
            <w:tcW w:w="2409" w:type="dxa"/>
            <w:shd w:val="clear" w:color="auto" w:fill="auto"/>
          </w:tcPr>
          <w:p>
            <w:pPr>
              <w:rPr>
                <w:szCs w:val="21"/>
              </w:rPr>
            </w:pPr>
            <w:r>
              <w:rPr>
                <w:szCs w:val="21"/>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szCs w:val="21"/>
              </w:rPr>
              <w:t>7.10</w:t>
            </w:r>
          </w:p>
        </w:tc>
        <w:tc>
          <w:tcPr>
            <w:tcW w:w="2413" w:type="dxa"/>
            <w:shd w:val="clear" w:color="auto" w:fill="auto"/>
          </w:tcPr>
          <w:p>
            <w:pPr>
              <w:rPr>
                <w:szCs w:val="21"/>
              </w:rPr>
            </w:pPr>
            <w:r>
              <w:rPr>
                <w:rFonts w:hint="eastAsia"/>
                <w:szCs w:val="21"/>
              </w:rPr>
              <w:t>9</w:t>
            </w:r>
            <w:r>
              <w:rPr>
                <w:szCs w:val="21"/>
              </w:rPr>
              <w:t>8</w:t>
            </w:r>
          </w:p>
        </w:tc>
        <w:tc>
          <w:tcPr>
            <w:tcW w:w="2409" w:type="dxa"/>
            <w:shd w:val="clear" w:color="auto" w:fill="auto"/>
          </w:tcPr>
          <w:p>
            <w:pPr>
              <w:rPr>
                <w:szCs w:val="21"/>
              </w:rPr>
            </w:pPr>
            <w:r>
              <w:rPr>
                <w:rFonts w:hint="eastAsia"/>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0" w:type="dxa"/>
            <w:shd w:val="clear" w:color="auto" w:fill="auto"/>
          </w:tcPr>
          <w:p>
            <w:pPr>
              <w:rPr>
                <w:szCs w:val="21"/>
              </w:rPr>
            </w:pPr>
            <w:r>
              <w:rPr>
                <w:rFonts w:hint="eastAsia"/>
                <w:szCs w:val="21"/>
              </w:rPr>
              <w:t>9</w:t>
            </w:r>
            <w:r>
              <w:rPr>
                <w:szCs w:val="21"/>
              </w:rPr>
              <w:t>.00</w:t>
            </w:r>
          </w:p>
        </w:tc>
        <w:tc>
          <w:tcPr>
            <w:tcW w:w="2413" w:type="dxa"/>
            <w:shd w:val="clear" w:color="auto" w:fill="auto"/>
          </w:tcPr>
          <w:p>
            <w:pPr>
              <w:rPr>
                <w:szCs w:val="21"/>
              </w:rPr>
            </w:pPr>
            <w:r>
              <w:rPr>
                <w:rFonts w:hint="eastAsia"/>
                <w:szCs w:val="21"/>
              </w:rPr>
              <w:t>9</w:t>
            </w:r>
            <w:r>
              <w:rPr>
                <w:szCs w:val="21"/>
              </w:rPr>
              <w:t>8</w:t>
            </w:r>
          </w:p>
        </w:tc>
        <w:tc>
          <w:tcPr>
            <w:tcW w:w="2409" w:type="dxa"/>
            <w:shd w:val="clear" w:color="auto" w:fill="auto"/>
          </w:tcPr>
          <w:p>
            <w:pPr>
              <w:rPr>
                <w:szCs w:val="21"/>
              </w:rPr>
            </w:pPr>
            <w:r>
              <w:rPr>
                <w:rFonts w:hint="eastAsia"/>
                <w:szCs w:val="21"/>
              </w:rPr>
              <w:t>2</w:t>
            </w:r>
          </w:p>
        </w:tc>
      </w:tr>
      <w:bookmarkEnd w:id="74"/>
    </w:tbl>
    <w:p>
      <w:pPr>
        <w:spacing w:after="156" w:afterLines="50"/>
        <w:jc w:val="left"/>
        <w:rPr>
          <w:rFonts w:ascii="黑体" w:hAnsi="黑体" w:eastAsia="黑体"/>
          <w:szCs w:val="21"/>
        </w:rPr>
      </w:pPr>
      <w:r>
        <w:rPr>
          <w:rFonts w:hint="eastAsia" w:ascii="黑体" w:hAnsi="黑体" w:eastAsia="黑体"/>
          <w:szCs w:val="21"/>
        </w:rPr>
        <w:t>C</w:t>
      </w:r>
      <w:r>
        <w:rPr>
          <w:rFonts w:ascii="黑体" w:hAnsi="黑体" w:eastAsia="黑体"/>
          <w:szCs w:val="21"/>
        </w:rPr>
        <w:t xml:space="preserve">.2 </w:t>
      </w:r>
      <w:r>
        <w:rPr>
          <w:rFonts w:hint="eastAsia" w:ascii="黑体" w:hAnsi="黑体" w:eastAsia="黑体"/>
          <w:szCs w:val="21"/>
        </w:rPr>
        <w:t>质谱仪器参考条件</w:t>
      </w:r>
    </w:p>
    <w:p>
      <w:pPr>
        <w:spacing w:after="156" w:afterLines="50"/>
        <w:ind w:firstLine="420" w:firstLineChars="200"/>
        <w:jc w:val="left"/>
        <w:rPr>
          <w:rFonts w:ascii="宋体" w:hAnsi="宋体"/>
          <w:szCs w:val="21"/>
        </w:rPr>
      </w:pPr>
      <w:r>
        <w:rPr>
          <w:rFonts w:hint="eastAsia" w:ascii="宋体" w:hAnsi="宋体"/>
          <w:szCs w:val="21"/>
        </w:rPr>
        <w:t>质谱参考条件见表C</w:t>
      </w:r>
      <w:r>
        <w:rPr>
          <w:rFonts w:ascii="宋体" w:hAnsi="宋体"/>
          <w:szCs w:val="21"/>
        </w:rPr>
        <w:t>.2</w:t>
      </w:r>
      <w:r>
        <w:rPr>
          <w:rFonts w:hint="eastAsia" w:ascii="宋体" w:hAnsi="宋体"/>
          <w:szCs w:val="21"/>
        </w:rPr>
        <w:t>。</w:t>
      </w:r>
    </w:p>
    <w:p>
      <w:pPr>
        <w:spacing w:after="156" w:afterLines="50"/>
        <w:jc w:val="center"/>
        <w:rPr>
          <w:rFonts w:ascii="黑体" w:hAnsi="黑体" w:eastAsia="黑体"/>
          <w:szCs w:val="21"/>
        </w:rPr>
      </w:pPr>
      <w:r>
        <w:rPr>
          <w:rFonts w:ascii="黑体" w:hAnsi="黑体" w:eastAsia="黑体"/>
          <w:szCs w:val="21"/>
        </w:rPr>
        <w:t>表</w:t>
      </w:r>
      <w:r>
        <w:rPr>
          <w:rFonts w:hint="eastAsia" w:ascii="黑体" w:hAnsi="黑体" w:eastAsia="黑体"/>
          <w:szCs w:val="21"/>
        </w:rPr>
        <w:t>C</w:t>
      </w:r>
      <w:r>
        <w:rPr>
          <w:rFonts w:ascii="黑体" w:hAnsi="黑体" w:eastAsia="黑体"/>
          <w:szCs w:val="21"/>
        </w:rPr>
        <w:t xml:space="preserve">.2 </w:t>
      </w:r>
      <w:r>
        <w:rPr>
          <w:rFonts w:hint="eastAsia" w:ascii="黑体" w:hAnsi="黑体" w:eastAsia="黑体"/>
          <w:szCs w:val="21"/>
        </w:rPr>
        <w:t>质谱参考条件</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5"/>
        <w:gridCol w:w="1752"/>
        <w:gridCol w:w="2268"/>
        <w:gridCol w:w="1786"/>
        <w:gridCol w:w="1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1645" w:type="dxa"/>
            <w:shd w:val="clear" w:color="auto" w:fill="auto"/>
            <w:vAlign w:val="center"/>
          </w:tcPr>
          <w:p>
            <w:pPr>
              <w:jc w:val="center"/>
              <w:rPr>
                <w:szCs w:val="21"/>
              </w:rPr>
            </w:pPr>
            <w:bookmarkStart w:id="75" w:name="_Hlk85203274"/>
            <w:r>
              <w:rPr>
                <w:szCs w:val="21"/>
              </w:rPr>
              <w:t>目标物</w:t>
            </w:r>
          </w:p>
        </w:tc>
        <w:tc>
          <w:tcPr>
            <w:tcW w:w="1752" w:type="dxa"/>
            <w:shd w:val="clear" w:color="auto" w:fill="auto"/>
            <w:vAlign w:val="center"/>
          </w:tcPr>
          <w:p>
            <w:pPr>
              <w:jc w:val="center"/>
              <w:rPr>
                <w:szCs w:val="21"/>
              </w:rPr>
            </w:pPr>
            <w:r>
              <w:rPr>
                <w:szCs w:val="21"/>
              </w:rPr>
              <w:t>母离子（m/z）</w:t>
            </w:r>
          </w:p>
        </w:tc>
        <w:tc>
          <w:tcPr>
            <w:tcW w:w="2268" w:type="dxa"/>
            <w:shd w:val="clear" w:color="auto" w:fill="auto"/>
            <w:vAlign w:val="center"/>
          </w:tcPr>
          <w:p>
            <w:pPr>
              <w:jc w:val="center"/>
              <w:rPr>
                <w:szCs w:val="21"/>
              </w:rPr>
            </w:pPr>
            <w:r>
              <w:rPr>
                <w:szCs w:val="21"/>
              </w:rPr>
              <w:t>碎片离子（m/z）</w:t>
            </w:r>
          </w:p>
        </w:tc>
        <w:tc>
          <w:tcPr>
            <w:tcW w:w="1786" w:type="dxa"/>
            <w:shd w:val="clear" w:color="auto" w:fill="auto"/>
            <w:vAlign w:val="center"/>
          </w:tcPr>
          <w:p>
            <w:pPr>
              <w:jc w:val="center"/>
              <w:rPr>
                <w:szCs w:val="21"/>
              </w:rPr>
            </w:pPr>
            <w:r>
              <w:rPr>
                <w:szCs w:val="21"/>
              </w:rPr>
              <w:t>锥孔电压（V）</w:t>
            </w:r>
          </w:p>
        </w:tc>
        <w:tc>
          <w:tcPr>
            <w:tcW w:w="1778" w:type="dxa"/>
            <w:shd w:val="clear" w:color="auto" w:fill="auto"/>
            <w:vAlign w:val="center"/>
          </w:tcPr>
          <w:p>
            <w:pPr>
              <w:jc w:val="center"/>
              <w:rPr>
                <w:szCs w:val="21"/>
              </w:rPr>
            </w:pPr>
            <w:r>
              <w:rPr>
                <w:szCs w:val="21"/>
              </w:rPr>
              <w:t>碰撞电压（V）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青霉酸</w:t>
            </w:r>
          </w:p>
        </w:tc>
        <w:tc>
          <w:tcPr>
            <w:tcW w:w="1752" w:type="dxa"/>
            <w:vMerge w:val="restart"/>
            <w:shd w:val="clear" w:color="auto" w:fill="auto"/>
            <w:vAlign w:val="center"/>
          </w:tcPr>
          <w:p>
            <w:pPr>
              <w:jc w:val="center"/>
              <w:rPr>
                <w:szCs w:val="21"/>
              </w:rPr>
            </w:pPr>
            <w:r>
              <w:rPr>
                <w:szCs w:val="21"/>
              </w:rPr>
              <w:t>171</w:t>
            </w:r>
          </w:p>
        </w:tc>
        <w:tc>
          <w:tcPr>
            <w:tcW w:w="2268" w:type="dxa"/>
            <w:shd w:val="clear" w:color="auto" w:fill="auto"/>
            <w:vAlign w:val="center"/>
          </w:tcPr>
          <w:p>
            <w:pPr>
              <w:jc w:val="center"/>
              <w:rPr>
                <w:szCs w:val="21"/>
              </w:rPr>
            </w:pPr>
            <w:r>
              <w:rPr>
                <w:szCs w:val="21"/>
              </w:rPr>
              <w:t>125*</w:t>
            </w:r>
          </w:p>
        </w:tc>
        <w:tc>
          <w:tcPr>
            <w:tcW w:w="1786" w:type="dxa"/>
            <w:shd w:val="clear" w:color="auto" w:fill="auto"/>
            <w:vAlign w:val="center"/>
          </w:tcPr>
          <w:p>
            <w:pPr>
              <w:jc w:val="center"/>
              <w:rPr>
                <w:szCs w:val="21"/>
              </w:rPr>
            </w:pPr>
            <w:r>
              <w:rPr>
                <w:szCs w:val="21"/>
              </w:rPr>
              <w:t>20</w:t>
            </w:r>
          </w:p>
        </w:tc>
        <w:tc>
          <w:tcPr>
            <w:tcW w:w="1778" w:type="dxa"/>
            <w:shd w:val="clear" w:color="auto" w:fill="auto"/>
            <w:vAlign w:val="center"/>
          </w:tcPr>
          <w:p>
            <w:pPr>
              <w:jc w:val="center"/>
              <w:rPr>
                <w:szCs w:val="21"/>
              </w:rPr>
            </w:pPr>
            <w:r>
              <w:rPr>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153</w:t>
            </w:r>
          </w:p>
        </w:tc>
        <w:tc>
          <w:tcPr>
            <w:tcW w:w="1786" w:type="dxa"/>
            <w:shd w:val="clear" w:color="auto" w:fill="auto"/>
            <w:vAlign w:val="center"/>
          </w:tcPr>
          <w:p>
            <w:pPr>
              <w:jc w:val="center"/>
              <w:rPr>
                <w:szCs w:val="21"/>
              </w:rPr>
            </w:pPr>
            <w:r>
              <w:rPr>
                <w:szCs w:val="21"/>
              </w:rPr>
              <w:t>20</w:t>
            </w:r>
          </w:p>
        </w:tc>
        <w:tc>
          <w:tcPr>
            <w:tcW w:w="1778" w:type="dxa"/>
            <w:shd w:val="clear" w:color="auto" w:fill="auto"/>
            <w:vAlign w:val="center"/>
          </w:tcPr>
          <w:p>
            <w:pPr>
              <w:jc w:val="center"/>
              <w:rPr>
                <w:szCs w:val="21"/>
              </w:rPr>
            </w:pPr>
            <w:r>
              <w:rPr>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桔青霉素</w:t>
            </w:r>
          </w:p>
        </w:tc>
        <w:tc>
          <w:tcPr>
            <w:tcW w:w="1752" w:type="dxa"/>
            <w:vMerge w:val="restart"/>
            <w:shd w:val="clear" w:color="auto" w:fill="auto"/>
            <w:vAlign w:val="center"/>
          </w:tcPr>
          <w:p>
            <w:pPr>
              <w:jc w:val="center"/>
              <w:rPr>
                <w:szCs w:val="21"/>
              </w:rPr>
            </w:pPr>
            <w:r>
              <w:rPr>
                <w:szCs w:val="21"/>
              </w:rPr>
              <w:t>251</w:t>
            </w:r>
          </w:p>
        </w:tc>
        <w:tc>
          <w:tcPr>
            <w:tcW w:w="2268" w:type="dxa"/>
            <w:shd w:val="clear" w:color="auto" w:fill="auto"/>
            <w:vAlign w:val="center"/>
          </w:tcPr>
          <w:p>
            <w:pPr>
              <w:jc w:val="center"/>
              <w:rPr>
                <w:szCs w:val="21"/>
              </w:rPr>
            </w:pPr>
            <w:r>
              <w:rPr>
                <w:szCs w:val="21"/>
              </w:rPr>
              <w:t>191</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205*</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霉酚酸</w:t>
            </w:r>
          </w:p>
        </w:tc>
        <w:tc>
          <w:tcPr>
            <w:tcW w:w="1752" w:type="dxa"/>
            <w:vMerge w:val="restart"/>
            <w:shd w:val="clear" w:color="auto" w:fill="auto"/>
            <w:vAlign w:val="center"/>
          </w:tcPr>
          <w:p>
            <w:pPr>
              <w:jc w:val="center"/>
              <w:rPr>
                <w:szCs w:val="21"/>
              </w:rPr>
            </w:pPr>
            <w:r>
              <w:rPr>
                <w:szCs w:val="21"/>
              </w:rPr>
              <w:t>321</w:t>
            </w:r>
          </w:p>
        </w:tc>
        <w:tc>
          <w:tcPr>
            <w:tcW w:w="2268" w:type="dxa"/>
            <w:shd w:val="clear" w:color="auto" w:fill="auto"/>
            <w:vAlign w:val="center"/>
          </w:tcPr>
          <w:p>
            <w:pPr>
              <w:jc w:val="center"/>
              <w:rPr>
                <w:szCs w:val="21"/>
              </w:rPr>
            </w:pPr>
            <w:r>
              <w:rPr>
                <w:szCs w:val="21"/>
              </w:rPr>
              <w:t>159</w:t>
            </w:r>
          </w:p>
        </w:tc>
        <w:tc>
          <w:tcPr>
            <w:tcW w:w="1786" w:type="dxa"/>
            <w:shd w:val="clear" w:color="auto" w:fill="auto"/>
            <w:vAlign w:val="center"/>
          </w:tcPr>
          <w:p>
            <w:pPr>
              <w:jc w:val="center"/>
              <w:rPr>
                <w:szCs w:val="21"/>
              </w:rPr>
            </w:pPr>
            <w:r>
              <w:rPr>
                <w:szCs w:val="21"/>
              </w:rPr>
              <w:t>16</w:t>
            </w:r>
          </w:p>
        </w:tc>
        <w:tc>
          <w:tcPr>
            <w:tcW w:w="1778" w:type="dxa"/>
            <w:shd w:val="clear" w:color="auto" w:fill="auto"/>
            <w:vAlign w:val="center"/>
          </w:tcPr>
          <w:p>
            <w:pPr>
              <w:jc w:val="center"/>
              <w:rPr>
                <w:szCs w:val="21"/>
              </w:rPr>
            </w:pPr>
            <w:r>
              <w:rPr>
                <w:szCs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207*</w:t>
            </w:r>
          </w:p>
        </w:tc>
        <w:tc>
          <w:tcPr>
            <w:tcW w:w="1786" w:type="dxa"/>
            <w:shd w:val="clear" w:color="auto" w:fill="auto"/>
            <w:vAlign w:val="center"/>
          </w:tcPr>
          <w:p>
            <w:pPr>
              <w:jc w:val="center"/>
              <w:rPr>
                <w:szCs w:val="21"/>
              </w:rPr>
            </w:pPr>
            <w:r>
              <w:rPr>
                <w:szCs w:val="21"/>
              </w:rPr>
              <w:t>16</w:t>
            </w:r>
          </w:p>
        </w:tc>
        <w:tc>
          <w:tcPr>
            <w:tcW w:w="1778" w:type="dxa"/>
            <w:shd w:val="clear" w:color="auto" w:fill="auto"/>
            <w:vAlign w:val="center"/>
          </w:tcPr>
          <w:p>
            <w:pPr>
              <w:jc w:val="center"/>
              <w:rPr>
                <w:szCs w:val="21"/>
              </w:rPr>
            </w:pPr>
            <w:r>
              <w:rPr>
                <w:szCs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异烟棒曲霉素C</w:t>
            </w:r>
          </w:p>
        </w:tc>
        <w:tc>
          <w:tcPr>
            <w:tcW w:w="1752" w:type="dxa"/>
            <w:vMerge w:val="restart"/>
            <w:shd w:val="clear" w:color="auto" w:fill="auto"/>
            <w:vAlign w:val="center"/>
          </w:tcPr>
          <w:p>
            <w:pPr>
              <w:jc w:val="center"/>
              <w:rPr>
                <w:szCs w:val="21"/>
              </w:rPr>
            </w:pPr>
            <w:r>
              <w:rPr>
                <w:szCs w:val="21"/>
              </w:rPr>
              <w:t>390</w:t>
            </w:r>
          </w:p>
        </w:tc>
        <w:tc>
          <w:tcPr>
            <w:tcW w:w="2268" w:type="dxa"/>
            <w:shd w:val="clear" w:color="auto" w:fill="auto"/>
            <w:vAlign w:val="center"/>
          </w:tcPr>
          <w:p>
            <w:pPr>
              <w:jc w:val="center"/>
              <w:rPr>
                <w:szCs w:val="21"/>
              </w:rPr>
            </w:pPr>
            <w:r>
              <w:rPr>
                <w:szCs w:val="21"/>
              </w:rPr>
              <w:t>193*</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322</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赭曲霉毒素A</w:t>
            </w:r>
          </w:p>
        </w:tc>
        <w:tc>
          <w:tcPr>
            <w:tcW w:w="1752" w:type="dxa"/>
            <w:vMerge w:val="restart"/>
            <w:shd w:val="clear" w:color="auto" w:fill="auto"/>
            <w:vAlign w:val="center"/>
          </w:tcPr>
          <w:p>
            <w:pPr>
              <w:jc w:val="center"/>
              <w:rPr>
                <w:szCs w:val="21"/>
              </w:rPr>
            </w:pPr>
            <w:r>
              <w:rPr>
                <w:szCs w:val="21"/>
              </w:rPr>
              <w:t>404</w:t>
            </w:r>
          </w:p>
        </w:tc>
        <w:tc>
          <w:tcPr>
            <w:tcW w:w="2268" w:type="dxa"/>
            <w:shd w:val="clear" w:color="auto" w:fill="auto"/>
            <w:vAlign w:val="center"/>
          </w:tcPr>
          <w:p>
            <w:pPr>
              <w:jc w:val="center"/>
              <w:rPr>
                <w:szCs w:val="21"/>
              </w:rPr>
            </w:pPr>
            <w:r>
              <w:rPr>
                <w:szCs w:val="21"/>
              </w:rPr>
              <w:t>239*</w:t>
            </w:r>
          </w:p>
        </w:tc>
        <w:tc>
          <w:tcPr>
            <w:tcW w:w="1786" w:type="dxa"/>
            <w:shd w:val="clear" w:color="auto" w:fill="auto"/>
            <w:vAlign w:val="center"/>
          </w:tcPr>
          <w:p>
            <w:pPr>
              <w:jc w:val="center"/>
              <w:rPr>
                <w:szCs w:val="21"/>
              </w:rPr>
            </w:pPr>
            <w:r>
              <w:rPr>
                <w:szCs w:val="21"/>
              </w:rPr>
              <w:t>20</w:t>
            </w:r>
          </w:p>
        </w:tc>
        <w:tc>
          <w:tcPr>
            <w:tcW w:w="1778" w:type="dxa"/>
            <w:shd w:val="clear" w:color="auto" w:fill="auto"/>
            <w:vAlign w:val="center"/>
          </w:tcPr>
          <w:p>
            <w:pPr>
              <w:jc w:val="center"/>
              <w:rPr>
                <w:szCs w:val="21"/>
              </w:rPr>
            </w:pPr>
            <w:r>
              <w:rPr>
                <w:szCs w:val="21"/>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358</w:t>
            </w:r>
          </w:p>
        </w:tc>
        <w:tc>
          <w:tcPr>
            <w:tcW w:w="1786" w:type="dxa"/>
            <w:shd w:val="clear" w:color="auto" w:fill="auto"/>
            <w:vAlign w:val="center"/>
          </w:tcPr>
          <w:p>
            <w:pPr>
              <w:jc w:val="center"/>
              <w:rPr>
                <w:szCs w:val="21"/>
              </w:rPr>
            </w:pPr>
            <w:r>
              <w:rPr>
                <w:szCs w:val="21"/>
              </w:rPr>
              <w:t>20</w:t>
            </w:r>
          </w:p>
        </w:tc>
        <w:tc>
          <w:tcPr>
            <w:tcW w:w="1778" w:type="dxa"/>
            <w:shd w:val="clear" w:color="auto" w:fill="auto"/>
            <w:vAlign w:val="center"/>
          </w:tcPr>
          <w:p>
            <w:pPr>
              <w:jc w:val="center"/>
              <w:rPr>
                <w:szCs w:val="21"/>
              </w:rPr>
            </w:pPr>
            <w:r>
              <w:rPr>
                <w:szCs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restart"/>
            <w:shd w:val="clear" w:color="auto" w:fill="auto"/>
            <w:vAlign w:val="center"/>
          </w:tcPr>
          <w:p>
            <w:pPr>
              <w:jc w:val="center"/>
              <w:rPr>
                <w:szCs w:val="21"/>
              </w:rPr>
            </w:pPr>
            <w:r>
              <w:rPr>
                <w:szCs w:val="21"/>
              </w:rPr>
              <w:t>黄绿青霉素</w:t>
            </w:r>
          </w:p>
        </w:tc>
        <w:tc>
          <w:tcPr>
            <w:tcW w:w="1752" w:type="dxa"/>
            <w:vMerge w:val="restart"/>
            <w:shd w:val="clear" w:color="auto" w:fill="auto"/>
            <w:vAlign w:val="center"/>
          </w:tcPr>
          <w:p>
            <w:pPr>
              <w:jc w:val="center"/>
              <w:rPr>
                <w:szCs w:val="21"/>
              </w:rPr>
            </w:pPr>
            <w:r>
              <w:rPr>
                <w:szCs w:val="21"/>
              </w:rPr>
              <w:t>403</w:t>
            </w:r>
          </w:p>
        </w:tc>
        <w:tc>
          <w:tcPr>
            <w:tcW w:w="2268" w:type="dxa"/>
            <w:shd w:val="clear" w:color="auto" w:fill="auto"/>
            <w:vAlign w:val="center"/>
          </w:tcPr>
          <w:p>
            <w:pPr>
              <w:jc w:val="center"/>
              <w:rPr>
                <w:szCs w:val="21"/>
              </w:rPr>
            </w:pPr>
            <w:r>
              <w:rPr>
                <w:szCs w:val="21"/>
              </w:rPr>
              <w:t>89</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139*</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45" w:type="dxa"/>
            <w:vMerge w:val="continue"/>
            <w:shd w:val="clear" w:color="auto" w:fill="auto"/>
            <w:vAlign w:val="center"/>
          </w:tcPr>
          <w:p>
            <w:pPr>
              <w:jc w:val="center"/>
              <w:rPr>
                <w:szCs w:val="21"/>
              </w:rPr>
            </w:pPr>
          </w:p>
        </w:tc>
        <w:tc>
          <w:tcPr>
            <w:tcW w:w="1752" w:type="dxa"/>
            <w:vMerge w:val="continue"/>
            <w:shd w:val="clear" w:color="auto" w:fill="auto"/>
            <w:vAlign w:val="center"/>
          </w:tcPr>
          <w:p>
            <w:pPr>
              <w:jc w:val="center"/>
              <w:rPr>
                <w:szCs w:val="21"/>
              </w:rPr>
            </w:pPr>
          </w:p>
        </w:tc>
        <w:tc>
          <w:tcPr>
            <w:tcW w:w="2268" w:type="dxa"/>
            <w:shd w:val="clear" w:color="auto" w:fill="auto"/>
            <w:vAlign w:val="center"/>
          </w:tcPr>
          <w:p>
            <w:pPr>
              <w:jc w:val="center"/>
              <w:rPr>
                <w:szCs w:val="21"/>
              </w:rPr>
            </w:pPr>
            <w:r>
              <w:rPr>
                <w:szCs w:val="21"/>
              </w:rPr>
              <w:t>193</w:t>
            </w:r>
          </w:p>
        </w:tc>
        <w:tc>
          <w:tcPr>
            <w:tcW w:w="1786" w:type="dxa"/>
            <w:shd w:val="clear" w:color="auto" w:fill="auto"/>
            <w:vAlign w:val="center"/>
          </w:tcPr>
          <w:p>
            <w:pPr>
              <w:jc w:val="center"/>
              <w:rPr>
                <w:szCs w:val="21"/>
              </w:rPr>
            </w:pPr>
            <w:r>
              <w:rPr>
                <w:szCs w:val="21"/>
              </w:rPr>
              <w:t>25</w:t>
            </w:r>
          </w:p>
        </w:tc>
        <w:tc>
          <w:tcPr>
            <w:tcW w:w="1778" w:type="dxa"/>
            <w:shd w:val="clear" w:color="auto" w:fill="auto"/>
            <w:vAlign w:val="center"/>
          </w:tcPr>
          <w:p>
            <w:pPr>
              <w:jc w:val="center"/>
              <w:rPr>
                <w:szCs w:val="21"/>
              </w:rPr>
            </w:pPr>
            <w:r>
              <w:rPr>
                <w:szCs w:val="21"/>
              </w:rPr>
              <w:t>20</w:t>
            </w:r>
          </w:p>
        </w:tc>
      </w:tr>
      <w:bookmarkEnd w:id="75"/>
    </w:tbl>
    <w:p>
      <w:pPr>
        <w:spacing w:after="156" w:afterLines="50"/>
        <w:rPr>
          <w:rFonts w:ascii="黑体" w:hAnsi="黑体" w:eastAsia="黑体"/>
          <w:szCs w:val="21"/>
        </w:rPr>
      </w:pPr>
      <w:r>
        <w:rPr>
          <w:rFonts w:hint="eastAsia" w:ascii="黑体" w:hAnsi="黑体" w:eastAsia="黑体"/>
          <w:szCs w:val="21"/>
        </w:rPr>
        <w:t>注：*为定量离子</w:t>
      </w:r>
    </w:p>
    <w:p>
      <w:pPr>
        <w:pStyle w:val="28"/>
        <w:rPr>
          <w:rFonts w:ascii="黑体" w:hAnsi="黑体" w:eastAsia="黑体"/>
          <w:sz w:val="21"/>
          <w:szCs w:val="21"/>
        </w:rPr>
      </w:pPr>
      <w:r>
        <w:rPr>
          <w:rFonts w:hint="eastAsia" w:ascii="黑体" w:hAnsi="黑体" w:eastAsia="黑体"/>
          <w:sz w:val="21"/>
          <w:szCs w:val="21"/>
        </w:rPr>
        <w:t xml:space="preserve">附 </w:t>
      </w:r>
      <w:r>
        <w:rPr>
          <w:rFonts w:ascii="黑体" w:hAnsi="黑体" w:eastAsia="黑体"/>
          <w:sz w:val="21"/>
          <w:szCs w:val="21"/>
        </w:rPr>
        <w:t xml:space="preserve"> </w:t>
      </w:r>
      <w:r>
        <w:rPr>
          <w:rFonts w:hint="eastAsia" w:ascii="黑体" w:hAnsi="黑体" w:eastAsia="黑体"/>
          <w:sz w:val="21"/>
          <w:szCs w:val="21"/>
        </w:rPr>
        <w:t xml:space="preserve">录 </w:t>
      </w:r>
      <w:r>
        <w:rPr>
          <w:rFonts w:ascii="黑体" w:hAnsi="黑体" w:eastAsia="黑体"/>
          <w:sz w:val="21"/>
          <w:szCs w:val="21"/>
        </w:rPr>
        <w:t xml:space="preserve"> </w:t>
      </w:r>
      <w:r>
        <w:rPr>
          <w:rFonts w:hint="eastAsia" w:ascii="黑体" w:hAnsi="黑体" w:eastAsia="黑体"/>
          <w:sz w:val="21"/>
          <w:szCs w:val="21"/>
        </w:rPr>
        <w:t>D</w:t>
      </w:r>
      <w:r>
        <w:rPr>
          <w:rFonts w:ascii="黑体" w:hAnsi="黑体" w:eastAsia="黑体"/>
          <w:sz w:val="21"/>
          <w:szCs w:val="21"/>
        </w:rPr>
        <w:t xml:space="preserve"> </w:t>
      </w:r>
    </w:p>
    <w:p>
      <w:pPr>
        <w:jc w:val="center"/>
        <w:rPr>
          <w:rFonts w:ascii="黑体" w:hAnsi="黑体" w:eastAsia="黑体"/>
        </w:rPr>
      </w:pPr>
      <w:r>
        <w:rPr>
          <w:rFonts w:hint="eastAsia" w:ascii="黑体" w:hAnsi="黑体" w:eastAsia="黑体"/>
        </w:rPr>
        <w:t>（资料性附录）</w:t>
      </w:r>
    </w:p>
    <w:p>
      <w:pPr>
        <w:jc w:val="center"/>
        <w:rPr>
          <w:rFonts w:ascii="黑体" w:hAnsi="黑体" w:eastAsia="黑体"/>
        </w:rPr>
      </w:pPr>
      <w:r>
        <w:rPr>
          <w:rFonts w:hint="eastAsia" w:ascii="黑体" w:hAnsi="黑体" w:eastAsia="黑体"/>
        </w:rPr>
        <w:t xml:space="preserve"> </w:t>
      </w:r>
      <w:r>
        <w:rPr>
          <w:rFonts w:ascii="黑体" w:hAnsi="黑体" w:eastAsia="黑体"/>
        </w:rPr>
        <w:t xml:space="preserve"> </w:t>
      </w:r>
      <w:r>
        <w:rPr>
          <w:rFonts w:hint="eastAsia" w:ascii="黑体" w:hAnsi="黑体" w:eastAsia="黑体"/>
        </w:rPr>
        <w:t>液相色谱-串联质谱图谱</w:t>
      </w:r>
    </w:p>
    <w:p>
      <w:pPr>
        <w:jc w:val="center"/>
        <w:rPr>
          <w:rFonts w:ascii="黑体" w:hAnsi="黑体" w:eastAsia="黑体"/>
        </w:rPr>
      </w:pPr>
      <w:r>
        <w:rPr>
          <w:rFonts w:ascii="黑体" w:hAnsi="黑体" w:eastAsia="黑体"/>
        </w:rPr>
        <w:drawing>
          <wp:inline distT="0" distB="0" distL="0" distR="0">
            <wp:extent cx="3897630" cy="356171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907924" cy="3571566"/>
                    </a:xfrm>
                    <a:prstGeom prst="rect">
                      <a:avLst/>
                    </a:prstGeom>
                    <a:noFill/>
                  </pic:spPr>
                </pic:pic>
              </a:graphicData>
            </a:graphic>
          </wp:inline>
        </w:drawing>
      </w:r>
    </w:p>
    <w:p>
      <w:pPr>
        <w:jc w:val="center"/>
        <w:rPr>
          <w:rFonts w:ascii="黑体" w:hAnsi="黑体" w:eastAsia="黑体"/>
          <w:b/>
          <w:bCs/>
        </w:rPr>
      </w:pPr>
      <w:bookmarkStart w:id="76" w:name="_Hlk83369493"/>
      <w:r>
        <w:rPr>
          <w:rFonts w:hint="eastAsia" w:ascii="黑体" w:hAnsi="黑体" w:eastAsia="黑体"/>
          <w:b/>
          <w:bCs/>
        </w:rPr>
        <w:t>图</w:t>
      </w:r>
      <w:r>
        <w:rPr>
          <w:rFonts w:ascii="黑体" w:hAnsi="黑体" w:eastAsia="黑体"/>
          <w:b/>
          <w:bCs/>
        </w:rPr>
        <w:t>D</w:t>
      </w:r>
      <w:r>
        <w:rPr>
          <w:rFonts w:hint="eastAsia" w:ascii="黑体" w:hAnsi="黑体" w:eastAsia="黑体"/>
          <w:b/>
          <w:bCs/>
        </w:rPr>
        <w:t>.</w:t>
      </w:r>
      <w:r>
        <w:rPr>
          <w:rFonts w:ascii="黑体" w:hAnsi="黑体" w:eastAsia="黑体"/>
          <w:b/>
          <w:bCs/>
        </w:rPr>
        <w:t xml:space="preserve">1 </w:t>
      </w:r>
      <w:r>
        <w:rPr>
          <w:rFonts w:hint="eastAsia" w:ascii="黑体" w:hAnsi="黑体" w:eastAsia="黑体"/>
          <w:b/>
          <w:bCs/>
        </w:rPr>
        <w:t>六种真菌毒素标准溶液色谱图（</w:t>
      </w:r>
      <w:r>
        <w:rPr>
          <w:rFonts w:eastAsia="黑体"/>
          <w:b/>
          <w:bCs/>
        </w:rPr>
        <w:t>10 μg/L</w:t>
      </w:r>
      <w:r>
        <w:rPr>
          <w:rFonts w:hint="eastAsia" w:ascii="黑体" w:hAnsi="黑体" w:eastAsia="黑体"/>
          <w:b/>
          <w:bCs/>
        </w:rPr>
        <w:t>）</w:t>
      </w:r>
    </w:p>
    <w:bookmarkEnd w:id="76"/>
    <w:p>
      <w:pPr>
        <w:jc w:val="center"/>
        <w:rPr>
          <w:rFonts w:ascii="黑体" w:hAnsi="黑体" w:eastAsia="黑体"/>
          <w:b/>
          <w:bCs/>
        </w:rPr>
      </w:pPr>
      <w:r>
        <w:rPr>
          <w:rFonts w:ascii="黑体" w:hAnsi="黑体" w:eastAsia="黑体"/>
          <w:b/>
          <w:bCs/>
        </w:rPr>
        <w:drawing>
          <wp:inline distT="0" distB="0" distL="0" distR="0">
            <wp:extent cx="4549140" cy="380936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516" cy="3829546"/>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图</w:t>
      </w:r>
      <w:r>
        <w:rPr>
          <w:rFonts w:ascii="黑体" w:hAnsi="黑体" w:eastAsia="黑体"/>
          <w:b/>
          <w:bCs/>
        </w:rPr>
        <w:t>D</w:t>
      </w:r>
      <w:r>
        <w:rPr>
          <w:rFonts w:hint="eastAsia" w:ascii="黑体" w:hAnsi="黑体" w:eastAsia="黑体"/>
          <w:b/>
          <w:bCs/>
        </w:rPr>
        <w:t>.</w:t>
      </w:r>
      <w:r>
        <w:rPr>
          <w:rFonts w:ascii="黑体" w:hAnsi="黑体" w:eastAsia="黑体"/>
          <w:b/>
          <w:bCs/>
        </w:rPr>
        <w:t xml:space="preserve">2 </w:t>
      </w:r>
      <w:r>
        <w:rPr>
          <w:rFonts w:hint="eastAsia" w:ascii="黑体" w:hAnsi="黑体" w:eastAsia="黑体"/>
          <w:b/>
          <w:bCs/>
        </w:rPr>
        <w:t>六种真菌毒素标准溶液多反应质谱（</w:t>
      </w:r>
      <w:r>
        <w:rPr>
          <w:rFonts w:ascii="黑体" w:hAnsi="黑体" w:eastAsia="黑体"/>
          <w:b/>
          <w:bCs/>
        </w:rPr>
        <w:t>MRM</w:t>
      </w:r>
      <w:r>
        <w:rPr>
          <w:rFonts w:hint="eastAsia" w:ascii="黑体" w:hAnsi="黑体" w:eastAsia="黑体"/>
          <w:b/>
          <w:bCs/>
        </w:rPr>
        <w:t>）图</w:t>
      </w:r>
    </w:p>
    <w:p>
      <w:pPr>
        <w:jc w:val="center"/>
        <w:rPr>
          <w:rFonts w:ascii="黑体" w:hAnsi="黑体" w:eastAsia="黑体"/>
          <w:b/>
          <w:bCs/>
        </w:rPr>
      </w:pPr>
      <w:r>
        <w:rPr>
          <w:rFonts w:ascii="黑体" w:hAnsi="黑体" w:eastAsia="黑体"/>
          <w:b/>
          <w:bCs/>
        </w:rPr>
        <w:drawing>
          <wp:inline distT="0" distB="0" distL="0" distR="0">
            <wp:extent cx="3885565" cy="37033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88931" cy="3705946"/>
                    </a:xfrm>
                    <a:prstGeom prst="rect">
                      <a:avLst/>
                    </a:prstGeom>
                    <a:noFill/>
                  </pic:spPr>
                </pic:pic>
              </a:graphicData>
            </a:graphic>
          </wp:inline>
        </w:drawing>
      </w:r>
    </w:p>
    <w:p>
      <w:pPr>
        <w:jc w:val="center"/>
        <w:rPr>
          <w:rFonts w:ascii="黑体" w:hAnsi="黑体" w:eastAsia="黑体"/>
          <w:b/>
          <w:bCs/>
        </w:rPr>
      </w:pPr>
      <w:bookmarkStart w:id="77" w:name="_Hlk84739492"/>
      <w:r>
        <w:rPr>
          <w:rFonts w:ascii="黑体" w:hAnsi="黑体" w:eastAsia="黑体"/>
          <w:b/>
          <w:bCs/>
        </w:rPr>
        <w:t>a1</w:t>
      </w:r>
    </w:p>
    <w:bookmarkEnd w:id="77"/>
    <w:p>
      <w:pPr>
        <w:jc w:val="center"/>
        <w:rPr>
          <w:rFonts w:ascii="黑体" w:hAnsi="黑体" w:eastAsia="黑体"/>
          <w:b/>
          <w:bCs/>
        </w:rPr>
      </w:pPr>
      <w:r>
        <w:rPr>
          <w:rFonts w:ascii="黑体" w:hAnsi="黑体" w:eastAsia="黑体"/>
          <w:b/>
          <w:bCs/>
        </w:rPr>
        <w:drawing>
          <wp:inline distT="0" distB="0" distL="0" distR="0">
            <wp:extent cx="5334000" cy="35763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46084" cy="3584942"/>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a</w:t>
      </w:r>
      <w:r>
        <w:rPr>
          <w:rFonts w:ascii="黑体" w:hAnsi="黑体" w:eastAsia="黑体"/>
          <w:b/>
          <w:bCs/>
        </w:rPr>
        <w:t>2</w:t>
      </w:r>
    </w:p>
    <w:p>
      <w:pPr>
        <w:jc w:val="left"/>
        <w:rPr>
          <w:rFonts w:ascii="黑体" w:hAnsi="黑体" w:eastAsia="黑体"/>
          <w:b/>
          <w:bCs/>
        </w:rPr>
      </w:pPr>
      <w:r>
        <w:drawing>
          <wp:inline distT="0" distB="0" distL="0" distR="0">
            <wp:extent cx="2838450" cy="31013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1511" cy="3116057"/>
                    </a:xfrm>
                    <a:prstGeom prst="rect">
                      <a:avLst/>
                    </a:prstGeom>
                    <a:noFill/>
                  </pic:spPr>
                </pic:pic>
              </a:graphicData>
            </a:graphic>
          </wp:inline>
        </w:drawing>
      </w:r>
      <w:r>
        <w:t xml:space="preserve">  </w:t>
      </w:r>
      <w:r>
        <w:drawing>
          <wp:inline distT="0" distB="0" distL="0" distR="0">
            <wp:extent cx="2704465" cy="310134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17358" cy="3115491"/>
                    </a:xfrm>
                    <a:prstGeom prst="rect">
                      <a:avLst/>
                    </a:prstGeom>
                    <a:noFill/>
                  </pic:spPr>
                </pic:pic>
              </a:graphicData>
            </a:graphic>
          </wp:inline>
        </w:drawing>
      </w:r>
    </w:p>
    <w:p>
      <w:pPr>
        <w:ind w:firstLine="2635" w:firstLineChars="1250"/>
        <w:rPr>
          <w:rFonts w:ascii="黑体" w:hAnsi="黑体" w:eastAsia="黑体"/>
          <w:b/>
          <w:bCs/>
        </w:rPr>
      </w:pPr>
      <w:r>
        <w:rPr>
          <w:rFonts w:ascii="黑体" w:hAnsi="黑体" w:eastAsia="黑体"/>
          <w:b/>
          <w:bCs/>
        </w:rPr>
        <w:t>a3</w:t>
      </w:r>
      <w:r>
        <w:rPr>
          <w:rFonts w:hint="eastAsia" w:ascii="黑体" w:hAnsi="黑体" w:eastAsia="黑体"/>
          <w:b/>
          <w:bCs/>
        </w:rPr>
        <w:t xml:space="preserve"> </w:t>
      </w:r>
      <w:r>
        <w:rPr>
          <w:rFonts w:ascii="黑体" w:hAnsi="黑体" w:eastAsia="黑体"/>
          <w:b/>
          <w:bCs/>
        </w:rPr>
        <w:t xml:space="preserve">                                      a4</w:t>
      </w:r>
    </w:p>
    <w:p>
      <w:pPr>
        <w:jc w:val="center"/>
        <w:rPr>
          <w:rFonts w:ascii="黑体" w:hAnsi="黑体" w:eastAsia="黑体"/>
          <w:b/>
          <w:bCs/>
        </w:rPr>
      </w:pPr>
      <w:r>
        <w:rPr>
          <w:rFonts w:hint="eastAsia" w:ascii="黑体" w:hAnsi="黑体" w:eastAsia="黑体"/>
          <w:b/>
          <w:bCs/>
        </w:rPr>
        <w:t>图</w:t>
      </w:r>
      <w:bookmarkStart w:id="78" w:name="_Hlk84682780"/>
      <w:bookmarkStart w:id="79" w:name="_Hlk81485956"/>
      <w:r>
        <w:rPr>
          <w:rFonts w:ascii="黑体" w:hAnsi="黑体" w:eastAsia="黑体"/>
          <w:b/>
          <w:bCs/>
        </w:rPr>
        <w:t xml:space="preserve">D </w:t>
      </w:r>
      <w:bookmarkStart w:id="80" w:name="_Hlk84739533"/>
      <w:r>
        <w:rPr>
          <w:rFonts w:hint="eastAsia" w:ascii="黑体" w:hAnsi="黑体" w:eastAsia="黑体"/>
          <w:b/>
          <w:bCs/>
        </w:rPr>
        <w:t>a</w:t>
      </w:r>
      <w:bookmarkEnd w:id="78"/>
      <w:r>
        <w:rPr>
          <w:rFonts w:ascii="黑体" w:hAnsi="黑体" w:eastAsia="黑体"/>
          <w:b/>
          <w:bCs/>
        </w:rPr>
        <w:t xml:space="preserve">1 </w:t>
      </w:r>
      <w:bookmarkEnd w:id="80"/>
      <w:r>
        <w:rPr>
          <w:rFonts w:hint="eastAsia" w:ascii="黑体" w:hAnsi="黑体" w:eastAsia="黑体"/>
          <w:b/>
          <w:bCs/>
        </w:rPr>
        <w:t>六种真菌毒素小麦基质匹配标准溶液色谱图</w:t>
      </w:r>
    </w:p>
    <w:p>
      <w:pPr>
        <w:jc w:val="center"/>
        <w:rPr>
          <w:rFonts w:ascii="黑体" w:hAnsi="黑体" w:eastAsia="黑体"/>
          <w:b/>
          <w:bCs/>
        </w:rPr>
      </w:pPr>
      <w:r>
        <w:rPr>
          <w:rFonts w:ascii="黑体" w:hAnsi="黑体" w:eastAsia="黑体"/>
          <w:b/>
          <w:bCs/>
        </w:rPr>
        <w:t xml:space="preserve"> a2 </w:t>
      </w:r>
      <w:bookmarkStart w:id="81" w:name="_Hlk84617017"/>
      <w:r>
        <w:rPr>
          <w:rFonts w:hint="eastAsia" w:ascii="黑体" w:hAnsi="黑体" w:eastAsia="黑体"/>
          <w:b/>
          <w:bCs/>
        </w:rPr>
        <w:t>六种真菌毒素小麦基质匹配标准溶液多反应质谱图</w:t>
      </w:r>
      <w:bookmarkEnd w:id="81"/>
    </w:p>
    <w:p>
      <w:pPr>
        <w:jc w:val="center"/>
        <w:rPr>
          <w:rFonts w:ascii="黑体" w:hAnsi="黑体" w:eastAsia="黑体"/>
          <w:b/>
          <w:bCs/>
        </w:rPr>
      </w:pPr>
      <w:r>
        <w:rPr>
          <w:rFonts w:ascii="黑体" w:hAnsi="黑体" w:eastAsia="黑体"/>
          <w:b/>
          <w:bCs/>
        </w:rPr>
        <w:t>a3</w:t>
      </w:r>
      <w:r>
        <w:rPr>
          <w:rFonts w:hint="eastAsia" w:ascii="黑体" w:hAnsi="黑体" w:eastAsia="黑体"/>
          <w:b/>
          <w:bCs/>
        </w:rPr>
        <w:t xml:space="preserve"> 小麦空白样品色谱图</w:t>
      </w:r>
    </w:p>
    <w:p>
      <w:pPr>
        <w:jc w:val="center"/>
        <w:rPr>
          <w:rFonts w:ascii="黑体" w:hAnsi="黑体" w:eastAsia="黑体"/>
          <w:b/>
          <w:bCs/>
        </w:rPr>
      </w:pPr>
      <w:r>
        <w:rPr>
          <w:rFonts w:ascii="黑体" w:hAnsi="黑体" w:eastAsia="黑体"/>
          <w:b/>
          <w:bCs/>
        </w:rPr>
        <w:t xml:space="preserve">a4 </w:t>
      </w:r>
      <w:bookmarkStart w:id="82" w:name="_Hlk84685840"/>
      <w:r>
        <w:rPr>
          <w:rFonts w:hint="eastAsia" w:ascii="黑体" w:hAnsi="黑体" w:eastAsia="黑体"/>
          <w:b/>
          <w:bCs/>
        </w:rPr>
        <w:t>六种真菌毒素小麦加标样品色谱图</w:t>
      </w:r>
      <w:bookmarkEnd w:id="79"/>
      <w:bookmarkEnd w:id="82"/>
    </w:p>
    <w:p>
      <w:pPr>
        <w:rPr>
          <w:rFonts w:ascii="黑体" w:hAnsi="黑体" w:eastAsia="黑体"/>
          <w:b/>
          <w:bCs/>
        </w:rPr>
      </w:pPr>
    </w:p>
    <w:p>
      <w:pPr>
        <w:jc w:val="center"/>
        <w:rPr>
          <w:rFonts w:ascii="黑体" w:hAnsi="黑体" w:eastAsia="黑体"/>
          <w:b/>
          <w:bCs/>
        </w:rPr>
      </w:pPr>
      <w:r>
        <w:rPr>
          <w:rFonts w:ascii="黑体" w:hAnsi="黑体" w:eastAsia="黑体"/>
          <w:b/>
          <w:bCs/>
        </w:rPr>
        <w:drawing>
          <wp:inline distT="0" distB="0" distL="0" distR="0">
            <wp:extent cx="3371850" cy="35204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77624" cy="3526835"/>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b1</w:t>
      </w:r>
    </w:p>
    <w:p>
      <w:pPr>
        <w:jc w:val="center"/>
        <w:rPr>
          <w:rFonts w:ascii="黑体" w:hAnsi="黑体" w:eastAsia="黑体"/>
          <w:b/>
          <w:bCs/>
        </w:rPr>
      </w:pPr>
      <w:r>
        <w:rPr>
          <w:rFonts w:ascii="黑体" w:hAnsi="黑体" w:eastAsia="黑体"/>
          <w:b/>
          <w:bCs/>
        </w:rPr>
        <w:drawing>
          <wp:inline distT="0" distB="0" distL="0" distR="0">
            <wp:extent cx="4279900" cy="330517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97458" cy="3319328"/>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b2</w:t>
      </w:r>
    </w:p>
    <w:p>
      <w:pPr>
        <w:ind w:firstLine="105" w:firstLineChars="50"/>
        <w:jc w:val="left"/>
        <w:rPr>
          <w:rFonts w:ascii="黑体" w:hAnsi="黑体" w:eastAsia="黑体"/>
          <w:b/>
          <w:bCs/>
        </w:rPr>
      </w:pPr>
      <w:r>
        <w:drawing>
          <wp:inline distT="0" distB="0" distL="0" distR="0">
            <wp:extent cx="2887980" cy="305435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96042" cy="3062409"/>
                    </a:xfrm>
                    <a:prstGeom prst="rect">
                      <a:avLst/>
                    </a:prstGeom>
                    <a:noFill/>
                  </pic:spPr>
                </pic:pic>
              </a:graphicData>
            </a:graphic>
          </wp:inline>
        </w:drawing>
      </w:r>
      <w:r>
        <w:t xml:space="preserve">  </w:t>
      </w:r>
      <w:r>
        <w:drawing>
          <wp:inline distT="0" distB="0" distL="0" distR="0">
            <wp:extent cx="2720340" cy="305371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1235" cy="3077663"/>
                    </a:xfrm>
                    <a:prstGeom prst="rect">
                      <a:avLst/>
                    </a:prstGeom>
                    <a:noFill/>
                  </pic:spPr>
                </pic:pic>
              </a:graphicData>
            </a:graphic>
          </wp:inline>
        </w:drawing>
      </w:r>
    </w:p>
    <w:p>
      <w:pPr>
        <w:ind w:firstLine="2424" w:firstLineChars="1150"/>
        <w:rPr>
          <w:rFonts w:ascii="黑体" w:hAnsi="黑体" w:eastAsia="黑体"/>
          <w:b/>
          <w:bCs/>
        </w:rPr>
      </w:pPr>
      <w:r>
        <w:rPr>
          <w:rFonts w:ascii="黑体" w:hAnsi="黑体" w:eastAsia="黑体"/>
          <w:b/>
          <w:bCs/>
        </w:rPr>
        <w:t>b3</w:t>
      </w:r>
      <w:r>
        <w:rPr>
          <w:rFonts w:hint="eastAsia" w:ascii="黑体" w:hAnsi="黑体" w:eastAsia="黑体"/>
          <w:b/>
          <w:bCs/>
        </w:rPr>
        <w:t xml:space="preserve"> </w:t>
      </w:r>
      <w:r>
        <w:rPr>
          <w:rFonts w:ascii="黑体" w:hAnsi="黑体" w:eastAsia="黑体"/>
          <w:b/>
          <w:bCs/>
        </w:rPr>
        <w:t xml:space="preserve">                                      b4</w:t>
      </w:r>
    </w:p>
    <w:p>
      <w:pPr>
        <w:jc w:val="center"/>
        <w:rPr>
          <w:rFonts w:ascii="黑体" w:hAnsi="黑体" w:eastAsia="黑体"/>
          <w:b/>
          <w:bCs/>
        </w:rPr>
      </w:pPr>
      <w:r>
        <w:rPr>
          <w:rFonts w:hint="eastAsia" w:ascii="黑体" w:hAnsi="黑体" w:eastAsia="黑体"/>
          <w:b/>
          <w:bCs/>
        </w:rPr>
        <w:t>图</w:t>
      </w:r>
      <w:r>
        <w:rPr>
          <w:rFonts w:ascii="黑体" w:hAnsi="黑体" w:eastAsia="黑体"/>
          <w:b/>
          <w:bCs/>
        </w:rPr>
        <w:t>D b</w:t>
      </w:r>
      <w:r>
        <w:rPr>
          <w:rFonts w:hint="eastAsia" w:ascii="黑体" w:hAnsi="黑体" w:eastAsia="黑体"/>
          <w:b/>
          <w:bCs/>
        </w:rPr>
        <w:t xml:space="preserve">1 </w:t>
      </w:r>
      <w:bookmarkStart w:id="83" w:name="_Hlk84683170"/>
      <w:r>
        <w:rPr>
          <w:rFonts w:hint="eastAsia" w:ascii="黑体" w:hAnsi="黑体" w:eastAsia="黑体"/>
          <w:b/>
          <w:bCs/>
        </w:rPr>
        <w:t>六种真菌毒素玉米基质匹配标准溶液色谱图</w:t>
      </w:r>
      <w:bookmarkEnd w:id="83"/>
    </w:p>
    <w:p>
      <w:pPr>
        <w:jc w:val="center"/>
        <w:rPr>
          <w:rFonts w:ascii="黑体" w:hAnsi="黑体" w:eastAsia="黑体"/>
          <w:b/>
          <w:bCs/>
        </w:rPr>
      </w:pPr>
      <w:r>
        <w:rPr>
          <w:rFonts w:ascii="黑体" w:hAnsi="黑体" w:eastAsia="黑体"/>
          <w:b/>
          <w:bCs/>
        </w:rPr>
        <w:t>b</w:t>
      </w:r>
      <w:r>
        <w:rPr>
          <w:rFonts w:hint="eastAsia" w:ascii="黑体" w:hAnsi="黑体" w:eastAsia="黑体"/>
          <w:b/>
          <w:bCs/>
        </w:rPr>
        <w:t>2 六种真菌毒素玉米基质匹配标准溶液多反应质谱图</w:t>
      </w:r>
    </w:p>
    <w:p>
      <w:pPr>
        <w:jc w:val="center"/>
        <w:rPr>
          <w:rFonts w:ascii="黑体" w:hAnsi="黑体" w:eastAsia="黑体"/>
          <w:b/>
          <w:bCs/>
        </w:rPr>
      </w:pPr>
      <w:r>
        <w:rPr>
          <w:rFonts w:ascii="黑体" w:hAnsi="黑体" w:eastAsia="黑体"/>
          <w:b/>
          <w:bCs/>
        </w:rPr>
        <w:t>b3</w:t>
      </w:r>
      <w:r>
        <w:rPr>
          <w:rFonts w:hint="eastAsia" w:ascii="黑体" w:hAnsi="黑体" w:eastAsia="黑体"/>
          <w:b/>
          <w:bCs/>
        </w:rPr>
        <w:t xml:space="preserve"> 玉米空白样品色谱图</w:t>
      </w:r>
    </w:p>
    <w:p>
      <w:pPr>
        <w:jc w:val="center"/>
        <w:rPr>
          <w:rFonts w:ascii="黑体" w:hAnsi="黑体" w:eastAsia="黑体"/>
          <w:b/>
          <w:bCs/>
        </w:rPr>
      </w:pPr>
      <w:r>
        <w:rPr>
          <w:rFonts w:ascii="黑体" w:hAnsi="黑体" w:eastAsia="黑体"/>
          <w:b/>
          <w:bCs/>
        </w:rPr>
        <w:t xml:space="preserve">b4 </w:t>
      </w:r>
      <w:r>
        <w:rPr>
          <w:rFonts w:hint="eastAsia" w:ascii="黑体" w:hAnsi="黑体" w:eastAsia="黑体"/>
          <w:b/>
          <w:bCs/>
        </w:rPr>
        <w:t>六种真菌毒素玉米加标样品色谱图</w:t>
      </w:r>
    </w:p>
    <w:p>
      <w:pPr>
        <w:jc w:val="center"/>
        <w:rPr>
          <w:rFonts w:ascii="黑体" w:hAnsi="黑体" w:eastAsia="黑体"/>
          <w:b/>
          <w:bCs/>
        </w:rPr>
      </w:pPr>
      <w:r>
        <w:rPr>
          <w:rFonts w:ascii="黑体" w:hAnsi="黑体" w:eastAsia="黑体"/>
          <w:b/>
          <w:bCs/>
        </w:rPr>
        <w:drawing>
          <wp:inline distT="0" distB="0" distL="0" distR="0">
            <wp:extent cx="3505200" cy="36455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06237" cy="3646732"/>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c</w:t>
      </w:r>
      <w:r>
        <w:rPr>
          <w:rFonts w:hint="eastAsia" w:ascii="黑体" w:hAnsi="黑体" w:eastAsia="黑体"/>
          <w:b/>
          <w:bCs/>
        </w:rPr>
        <w:t>1</w:t>
      </w:r>
    </w:p>
    <w:p>
      <w:pPr>
        <w:jc w:val="center"/>
        <w:rPr>
          <w:rFonts w:ascii="黑体" w:hAnsi="黑体" w:eastAsia="黑体"/>
          <w:b/>
          <w:bCs/>
        </w:rPr>
      </w:pPr>
      <w:r>
        <w:rPr>
          <w:rFonts w:ascii="黑体" w:hAnsi="黑体" w:eastAsia="黑体"/>
          <w:b/>
          <w:bCs/>
        </w:rPr>
        <w:drawing>
          <wp:inline distT="0" distB="0" distL="0" distR="0">
            <wp:extent cx="4477385" cy="2933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83751" cy="2937723"/>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c</w:t>
      </w:r>
      <w:r>
        <w:rPr>
          <w:rFonts w:hint="eastAsia" w:ascii="黑体" w:hAnsi="黑体" w:eastAsia="黑体"/>
          <w:b/>
          <w:bCs/>
        </w:rPr>
        <w:t>2</w:t>
      </w:r>
    </w:p>
    <w:p>
      <w:pPr>
        <w:jc w:val="left"/>
        <w:rPr>
          <w:rFonts w:ascii="黑体" w:hAnsi="黑体" w:eastAsia="黑体"/>
          <w:b/>
          <w:bCs/>
        </w:rPr>
      </w:pPr>
      <w:r>
        <w:drawing>
          <wp:inline distT="0" distB="0" distL="0" distR="0">
            <wp:extent cx="2752725" cy="28003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60170" cy="2807641"/>
                    </a:xfrm>
                    <a:prstGeom prst="rect">
                      <a:avLst/>
                    </a:prstGeom>
                    <a:noFill/>
                  </pic:spPr>
                </pic:pic>
              </a:graphicData>
            </a:graphic>
          </wp:inline>
        </w:drawing>
      </w:r>
      <w:r>
        <w:t xml:space="preserve">  </w:t>
      </w:r>
      <w:r>
        <w:drawing>
          <wp:inline distT="0" distB="0" distL="0" distR="0">
            <wp:extent cx="2590800" cy="27978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02757" cy="2810726"/>
                    </a:xfrm>
                    <a:prstGeom prst="rect">
                      <a:avLst/>
                    </a:prstGeom>
                    <a:noFill/>
                  </pic:spPr>
                </pic:pic>
              </a:graphicData>
            </a:graphic>
          </wp:inline>
        </w:drawing>
      </w:r>
    </w:p>
    <w:p>
      <w:pPr>
        <w:ind w:firstLine="1897" w:firstLineChars="900"/>
        <w:jc w:val="left"/>
        <w:rPr>
          <w:rFonts w:ascii="黑体" w:hAnsi="黑体" w:eastAsia="黑体"/>
          <w:b/>
          <w:bCs/>
        </w:rPr>
      </w:pPr>
      <w:r>
        <w:rPr>
          <w:rFonts w:ascii="黑体" w:hAnsi="黑体" w:eastAsia="黑体"/>
          <w:b/>
          <w:bCs/>
        </w:rPr>
        <w:t>c3</w:t>
      </w:r>
      <w:r>
        <w:rPr>
          <w:rFonts w:hint="eastAsia" w:ascii="黑体" w:hAnsi="黑体" w:eastAsia="黑体"/>
          <w:b/>
          <w:bCs/>
        </w:rPr>
        <w:t xml:space="preserve"> </w:t>
      </w:r>
      <w:r>
        <w:rPr>
          <w:rFonts w:ascii="黑体" w:hAnsi="黑体" w:eastAsia="黑体"/>
          <w:b/>
          <w:bCs/>
        </w:rPr>
        <w:t xml:space="preserve">                                         c4</w:t>
      </w:r>
    </w:p>
    <w:p>
      <w:pPr>
        <w:jc w:val="center"/>
        <w:rPr>
          <w:rFonts w:ascii="黑体" w:hAnsi="黑体" w:eastAsia="黑体"/>
          <w:b/>
          <w:bCs/>
        </w:rPr>
      </w:pPr>
      <w:r>
        <w:rPr>
          <w:rFonts w:ascii="黑体" w:hAnsi="黑体" w:eastAsia="黑体"/>
          <w:b/>
          <w:bCs/>
        </w:rPr>
        <w:t xml:space="preserve">图D </w:t>
      </w:r>
      <w:bookmarkStart w:id="84" w:name="_Hlk84683369"/>
      <w:r>
        <w:rPr>
          <w:rFonts w:hint="eastAsia" w:ascii="黑体" w:hAnsi="黑体" w:eastAsia="黑体"/>
          <w:b/>
          <w:bCs/>
        </w:rPr>
        <w:t>c1</w:t>
      </w:r>
      <w:bookmarkEnd w:id="84"/>
      <w:r>
        <w:rPr>
          <w:rFonts w:hint="eastAsia" w:ascii="黑体" w:hAnsi="黑体" w:eastAsia="黑体"/>
          <w:b/>
          <w:bCs/>
        </w:rPr>
        <w:t xml:space="preserve"> </w:t>
      </w:r>
      <w:bookmarkStart w:id="85" w:name="_Hlk84686092"/>
      <w:r>
        <w:rPr>
          <w:rFonts w:hint="eastAsia" w:ascii="黑体" w:hAnsi="黑体" w:eastAsia="黑体"/>
          <w:b/>
          <w:bCs/>
        </w:rPr>
        <w:t>六种真菌毒素大米基质匹配标准溶液色谱图</w:t>
      </w:r>
    </w:p>
    <w:bookmarkEnd w:id="85"/>
    <w:p>
      <w:pPr>
        <w:jc w:val="center"/>
        <w:rPr>
          <w:rFonts w:ascii="黑体" w:hAnsi="黑体" w:eastAsia="黑体"/>
          <w:b/>
          <w:bCs/>
        </w:rPr>
      </w:pPr>
      <w:bookmarkStart w:id="86" w:name="_Hlk84683381"/>
      <w:r>
        <w:rPr>
          <w:rFonts w:ascii="黑体" w:hAnsi="黑体" w:eastAsia="黑体"/>
          <w:b/>
          <w:bCs/>
        </w:rPr>
        <w:t>c</w:t>
      </w:r>
      <w:r>
        <w:rPr>
          <w:rFonts w:hint="eastAsia" w:ascii="黑体" w:hAnsi="黑体" w:eastAsia="黑体"/>
          <w:b/>
          <w:bCs/>
        </w:rPr>
        <w:t>2</w:t>
      </w:r>
      <w:bookmarkEnd w:id="86"/>
      <w:r>
        <w:rPr>
          <w:rFonts w:hint="eastAsia" w:ascii="黑体" w:hAnsi="黑体" w:eastAsia="黑体"/>
          <w:b/>
          <w:bCs/>
        </w:rPr>
        <w:t xml:space="preserve"> 六种真菌毒素大米基质匹配标准溶液多反应质谱图</w:t>
      </w:r>
    </w:p>
    <w:p>
      <w:pPr>
        <w:jc w:val="center"/>
        <w:rPr>
          <w:rFonts w:ascii="黑体" w:hAnsi="黑体" w:eastAsia="黑体"/>
          <w:b/>
          <w:bCs/>
        </w:rPr>
      </w:pPr>
      <w:r>
        <w:rPr>
          <w:rFonts w:ascii="黑体" w:hAnsi="黑体" w:eastAsia="黑体"/>
          <w:b/>
          <w:bCs/>
        </w:rPr>
        <w:t>c3</w:t>
      </w:r>
      <w:r>
        <w:rPr>
          <w:rFonts w:hint="eastAsia" w:ascii="黑体" w:hAnsi="黑体" w:eastAsia="黑体"/>
          <w:b/>
          <w:bCs/>
        </w:rPr>
        <w:t xml:space="preserve"> 六种真菌毒素</w:t>
      </w:r>
      <w:bookmarkStart w:id="87" w:name="_Hlk84686117"/>
      <w:r>
        <w:rPr>
          <w:rFonts w:hint="eastAsia" w:ascii="黑体" w:hAnsi="黑体" w:eastAsia="黑体"/>
          <w:b/>
          <w:bCs/>
        </w:rPr>
        <w:t>大米空白样品色谱图</w:t>
      </w:r>
      <w:bookmarkEnd w:id="87"/>
    </w:p>
    <w:p>
      <w:pPr>
        <w:jc w:val="center"/>
        <w:rPr>
          <w:rFonts w:ascii="黑体" w:hAnsi="黑体" w:eastAsia="黑体"/>
          <w:b/>
          <w:bCs/>
        </w:rPr>
      </w:pPr>
      <w:r>
        <w:rPr>
          <w:rFonts w:ascii="黑体" w:hAnsi="黑体" w:eastAsia="黑体"/>
          <w:b/>
          <w:bCs/>
        </w:rPr>
        <w:t xml:space="preserve">c4 </w:t>
      </w:r>
      <w:r>
        <w:rPr>
          <w:rFonts w:hint="eastAsia" w:ascii="黑体" w:hAnsi="黑体" w:eastAsia="黑体"/>
          <w:b/>
          <w:bCs/>
        </w:rPr>
        <w:t>六种真菌毒素大米加标样品色谱图</w:t>
      </w:r>
    </w:p>
    <w:p>
      <w:pPr>
        <w:jc w:val="center"/>
        <w:rPr>
          <w:rFonts w:ascii="黑体" w:hAnsi="黑体" w:eastAsia="黑体"/>
          <w:b/>
          <w:bCs/>
        </w:rPr>
      </w:pPr>
    </w:p>
    <w:p>
      <w:pPr>
        <w:jc w:val="center"/>
        <w:rPr>
          <w:rFonts w:ascii="黑体" w:hAnsi="黑体" w:eastAsia="黑体"/>
          <w:b/>
          <w:bCs/>
        </w:rPr>
      </w:pPr>
    </w:p>
    <w:p>
      <w:pPr>
        <w:jc w:val="center"/>
        <w:rPr>
          <w:rFonts w:ascii="黑体" w:hAnsi="黑体" w:eastAsia="黑体"/>
          <w:b/>
          <w:bCs/>
        </w:rPr>
      </w:pPr>
    </w:p>
    <w:p>
      <w:pPr>
        <w:jc w:val="center"/>
        <w:rPr>
          <w:rFonts w:ascii="黑体" w:hAnsi="黑体" w:eastAsia="黑体"/>
          <w:b/>
          <w:bCs/>
        </w:rPr>
      </w:pPr>
    </w:p>
    <w:p>
      <w:pPr>
        <w:jc w:val="center"/>
        <w:rPr>
          <w:rFonts w:ascii="黑体" w:hAnsi="黑体" w:eastAsia="黑体"/>
          <w:b/>
          <w:bCs/>
        </w:rPr>
      </w:pPr>
    </w:p>
    <w:p>
      <w:pPr>
        <w:jc w:val="center"/>
        <w:rPr>
          <w:rFonts w:ascii="黑体" w:hAnsi="黑体" w:eastAsia="黑体"/>
          <w:b/>
          <w:bCs/>
        </w:rPr>
      </w:pPr>
    </w:p>
    <w:p>
      <w:pPr>
        <w:rPr>
          <w:rFonts w:ascii="黑体" w:hAnsi="黑体" w:eastAsia="黑体"/>
          <w:b/>
          <w:bCs/>
        </w:rPr>
        <w:sectPr>
          <w:pgSz w:w="11906" w:h="16838"/>
          <w:pgMar w:top="567" w:right="1134" w:bottom="1134" w:left="1418" w:header="1418" w:footer="1134" w:gutter="0"/>
          <w:pgNumType w:start="1"/>
          <w:cols w:space="720" w:num="1"/>
          <w:formProt w:val="0"/>
          <w:docGrid w:type="lines" w:linePitch="312" w:charSpace="0"/>
        </w:sectPr>
      </w:pPr>
    </w:p>
    <w:p>
      <w:pPr>
        <w:rPr>
          <w:rFonts w:ascii="黑体" w:hAnsi="黑体" w:eastAsia="黑体"/>
          <w:b/>
          <w:bCs/>
        </w:rPr>
      </w:pPr>
    </w:p>
    <w:p>
      <w:pPr>
        <w:jc w:val="center"/>
        <w:rPr>
          <w:rFonts w:ascii="黑体" w:hAnsi="黑体" w:eastAsia="黑体"/>
          <w:b/>
          <w:bCs/>
        </w:rPr>
      </w:pPr>
      <w:r>
        <w:rPr>
          <w:rFonts w:ascii="黑体" w:hAnsi="黑体" w:eastAsia="黑体"/>
          <w:b/>
          <w:bCs/>
        </w:rPr>
        <w:drawing>
          <wp:inline distT="0" distB="0" distL="0" distR="0">
            <wp:extent cx="4044950" cy="39960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56063" cy="4006723"/>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d</w:t>
      </w:r>
      <w:r>
        <w:rPr>
          <w:rFonts w:ascii="黑体" w:hAnsi="黑体" w:eastAsia="黑体"/>
          <w:b/>
          <w:bCs/>
        </w:rPr>
        <w:t>1</w:t>
      </w:r>
    </w:p>
    <w:p>
      <w:pPr>
        <w:jc w:val="center"/>
        <w:rPr>
          <w:rFonts w:ascii="黑体" w:hAnsi="黑体" w:eastAsia="黑体"/>
          <w:b/>
          <w:bCs/>
        </w:rPr>
      </w:pPr>
      <w:r>
        <w:rPr>
          <w:rFonts w:ascii="黑体" w:hAnsi="黑体" w:eastAsia="黑体"/>
          <w:b/>
          <w:bCs/>
        </w:rPr>
        <w:drawing>
          <wp:inline distT="0" distB="0" distL="0" distR="0">
            <wp:extent cx="5537200" cy="388874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60811" cy="3905066"/>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d</w:t>
      </w:r>
      <w:r>
        <w:rPr>
          <w:rFonts w:ascii="黑体" w:hAnsi="黑体" w:eastAsia="黑体"/>
          <w:b/>
          <w:bCs/>
        </w:rPr>
        <w:t>2</w:t>
      </w:r>
    </w:p>
    <w:p>
      <w:pPr>
        <w:rPr>
          <w:rFonts w:ascii="黑体" w:hAnsi="黑体" w:eastAsia="黑体"/>
          <w:b/>
          <w:bCs/>
        </w:rPr>
      </w:pPr>
    </w:p>
    <w:p>
      <w:pPr>
        <w:rPr>
          <w:rFonts w:ascii="黑体" w:hAnsi="黑体" w:eastAsia="黑体"/>
          <w:b/>
          <w:bCs/>
        </w:rPr>
      </w:pPr>
      <w:r>
        <w:rPr>
          <w:rFonts w:ascii="黑体" w:hAnsi="黑体" w:eastAsia="黑体"/>
          <w:b/>
          <w:bCs/>
        </w:rPr>
        <w:drawing>
          <wp:inline distT="0" distB="0" distL="0" distR="0">
            <wp:extent cx="2479040" cy="2844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07770" cy="2877743"/>
                    </a:xfrm>
                    <a:prstGeom prst="rect">
                      <a:avLst/>
                    </a:prstGeom>
                    <a:noFill/>
                  </pic:spPr>
                </pic:pic>
              </a:graphicData>
            </a:graphic>
          </wp:inline>
        </w:drawing>
      </w:r>
      <w:r>
        <w:rPr>
          <w:rFonts w:ascii="黑体" w:hAnsi="黑体" w:eastAsia="黑体"/>
          <w:b/>
          <w:bCs/>
        </w:rPr>
        <w:drawing>
          <wp:inline distT="0" distB="0" distL="0" distR="0">
            <wp:extent cx="2722245" cy="28448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363" cy="2874184"/>
                    </a:xfrm>
                    <a:prstGeom prst="rect">
                      <a:avLst/>
                    </a:prstGeom>
                    <a:noFill/>
                  </pic:spPr>
                </pic:pic>
              </a:graphicData>
            </a:graphic>
          </wp:inline>
        </w:drawing>
      </w:r>
    </w:p>
    <w:p>
      <w:pPr>
        <w:ind w:firstLine="2003" w:firstLineChars="950"/>
        <w:rPr>
          <w:rFonts w:ascii="黑体" w:hAnsi="黑体" w:eastAsia="黑体"/>
          <w:b/>
          <w:bCs/>
        </w:rPr>
      </w:pPr>
      <w:r>
        <w:rPr>
          <w:rFonts w:hint="eastAsia" w:ascii="黑体" w:hAnsi="黑体" w:eastAsia="黑体"/>
          <w:b/>
          <w:bCs/>
        </w:rPr>
        <w:t>d</w:t>
      </w:r>
      <w:r>
        <w:rPr>
          <w:rFonts w:ascii="黑体" w:hAnsi="黑体" w:eastAsia="黑体"/>
          <w:b/>
          <w:bCs/>
        </w:rPr>
        <w:t>3                                    d4</w:t>
      </w:r>
    </w:p>
    <w:p>
      <w:pPr>
        <w:jc w:val="center"/>
        <w:rPr>
          <w:rFonts w:ascii="黑体" w:hAnsi="黑体" w:eastAsia="黑体"/>
          <w:b/>
          <w:bCs/>
        </w:rPr>
      </w:pPr>
      <w:r>
        <w:rPr>
          <w:rFonts w:ascii="黑体" w:hAnsi="黑体" w:eastAsia="黑体"/>
          <w:b/>
          <w:bCs/>
        </w:rPr>
        <w:t>图D</w:t>
      </w:r>
      <w:r>
        <w:rPr>
          <w:rFonts w:hint="eastAsia" w:ascii="黑体" w:hAnsi="黑体" w:eastAsia="黑体"/>
          <w:b/>
          <w:bCs/>
        </w:rPr>
        <w:t xml:space="preserve"> d1 六种真菌毒素产蛋鸡饲料（0-</w:t>
      </w:r>
      <w:r>
        <w:rPr>
          <w:rFonts w:ascii="黑体" w:hAnsi="黑体" w:eastAsia="黑体"/>
          <w:b/>
          <w:bCs/>
        </w:rPr>
        <w:t>6</w:t>
      </w:r>
      <w:r>
        <w:rPr>
          <w:rFonts w:hint="eastAsia" w:ascii="黑体" w:hAnsi="黑体" w:eastAsia="黑体"/>
          <w:b/>
          <w:bCs/>
        </w:rPr>
        <w:t>周）基质匹配标准溶液色谱图</w:t>
      </w:r>
    </w:p>
    <w:p>
      <w:pPr>
        <w:jc w:val="center"/>
        <w:rPr>
          <w:rFonts w:ascii="黑体" w:hAnsi="黑体" w:eastAsia="黑体"/>
          <w:b/>
          <w:bCs/>
        </w:rPr>
      </w:pPr>
      <w:r>
        <w:rPr>
          <w:rFonts w:ascii="黑体" w:hAnsi="黑体" w:eastAsia="黑体"/>
          <w:b/>
          <w:bCs/>
        </w:rPr>
        <w:t>d</w:t>
      </w:r>
      <w:r>
        <w:rPr>
          <w:rFonts w:hint="eastAsia" w:ascii="黑体" w:hAnsi="黑体" w:eastAsia="黑体"/>
          <w:b/>
          <w:bCs/>
        </w:rPr>
        <w:t>2 六种真菌毒素产蛋鸡饲料（0-</w:t>
      </w:r>
      <w:r>
        <w:rPr>
          <w:rFonts w:ascii="黑体" w:hAnsi="黑体" w:eastAsia="黑体"/>
          <w:b/>
          <w:bCs/>
        </w:rPr>
        <w:t>6</w:t>
      </w:r>
      <w:r>
        <w:rPr>
          <w:rFonts w:hint="eastAsia" w:ascii="黑体" w:hAnsi="黑体" w:eastAsia="黑体"/>
          <w:b/>
          <w:bCs/>
        </w:rPr>
        <w:t>周）基质匹配标准溶液多反应质谱图</w:t>
      </w:r>
    </w:p>
    <w:p>
      <w:pPr>
        <w:jc w:val="center"/>
        <w:rPr>
          <w:rFonts w:ascii="黑体" w:hAnsi="黑体" w:eastAsia="黑体"/>
          <w:b/>
          <w:bCs/>
        </w:rPr>
      </w:pPr>
      <w:r>
        <w:rPr>
          <w:rFonts w:ascii="黑体" w:hAnsi="黑体" w:eastAsia="黑体"/>
          <w:b/>
          <w:bCs/>
        </w:rPr>
        <w:t>d3</w:t>
      </w:r>
      <w:r>
        <w:rPr>
          <w:rFonts w:hint="eastAsia" w:ascii="黑体" w:hAnsi="黑体" w:eastAsia="黑体"/>
          <w:b/>
          <w:bCs/>
        </w:rPr>
        <w:t xml:space="preserve"> 六种真菌毒素产蛋鸡饲料（0-</w:t>
      </w:r>
      <w:r>
        <w:rPr>
          <w:rFonts w:ascii="黑体" w:hAnsi="黑体" w:eastAsia="黑体"/>
          <w:b/>
          <w:bCs/>
        </w:rPr>
        <w:t>6</w:t>
      </w:r>
      <w:r>
        <w:rPr>
          <w:rFonts w:hint="eastAsia" w:ascii="黑体" w:hAnsi="黑体" w:eastAsia="黑体"/>
          <w:b/>
          <w:bCs/>
        </w:rPr>
        <w:t>周）空白样品色谱图</w:t>
      </w:r>
    </w:p>
    <w:p>
      <w:pPr>
        <w:jc w:val="center"/>
        <w:rPr>
          <w:rFonts w:ascii="黑体" w:hAnsi="黑体" w:eastAsia="黑体"/>
          <w:b/>
          <w:bCs/>
        </w:rPr>
      </w:pPr>
      <w:r>
        <w:rPr>
          <w:rFonts w:ascii="黑体" w:hAnsi="黑体" w:eastAsia="黑体"/>
          <w:b/>
          <w:bCs/>
        </w:rPr>
        <w:t xml:space="preserve">d4 </w:t>
      </w:r>
      <w:r>
        <w:rPr>
          <w:rFonts w:hint="eastAsia" w:ascii="黑体" w:hAnsi="黑体" w:eastAsia="黑体"/>
          <w:b/>
          <w:bCs/>
        </w:rPr>
        <w:t>六种真菌毒素产蛋鸡饲料（0-</w:t>
      </w:r>
      <w:r>
        <w:rPr>
          <w:rFonts w:ascii="黑体" w:hAnsi="黑体" w:eastAsia="黑体"/>
          <w:b/>
          <w:bCs/>
        </w:rPr>
        <w:t>6</w:t>
      </w:r>
      <w:r>
        <w:rPr>
          <w:rFonts w:hint="eastAsia" w:ascii="黑体" w:hAnsi="黑体" w:eastAsia="黑体"/>
          <w:b/>
          <w:bCs/>
        </w:rPr>
        <w:t>周）加标样品色谱图</w:t>
      </w:r>
    </w:p>
    <w:p>
      <w:pPr>
        <w:jc w:val="center"/>
        <w:rPr>
          <w:rFonts w:ascii="黑体" w:hAnsi="黑体" w:eastAsia="黑体"/>
          <w:b/>
          <w:bCs/>
        </w:rPr>
      </w:pPr>
      <w:r>
        <w:rPr>
          <w:rFonts w:ascii="黑体" w:hAnsi="黑体" w:eastAsia="黑体"/>
          <w:b/>
          <w:bCs/>
        </w:rPr>
        <w:drawing>
          <wp:inline distT="0" distB="0" distL="0" distR="0">
            <wp:extent cx="3041015" cy="3291205"/>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47893" cy="3299086"/>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e</w:t>
      </w:r>
      <w:r>
        <w:rPr>
          <w:rFonts w:ascii="黑体" w:hAnsi="黑体" w:eastAsia="黑体"/>
          <w:b/>
          <w:bCs/>
        </w:rPr>
        <w:t>1</w:t>
      </w:r>
    </w:p>
    <w:p>
      <w:pPr>
        <w:rPr>
          <w:rFonts w:ascii="黑体" w:hAnsi="黑体" w:eastAsia="黑体"/>
          <w:b/>
          <w:bCs/>
        </w:rPr>
      </w:pPr>
      <w:r>
        <w:rPr>
          <w:rFonts w:ascii="黑体" w:hAnsi="黑体" w:eastAsia="黑体"/>
          <w:b/>
          <w:bCs/>
        </w:rPr>
        <w:drawing>
          <wp:inline distT="0" distB="0" distL="0" distR="0">
            <wp:extent cx="5257800" cy="3784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733" cy="3792575"/>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e</w:t>
      </w:r>
      <w:r>
        <w:rPr>
          <w:rFonts w:ascii="黑体" w:hAnsi="黑体" w:eastAsia="黑体"/>
          <w:b/>
          <w:bCs/>
        </w:rPr>
        <w:t>2</w:t>
      </w:r>
    </w:p>
    <w:p>
      <w:pPr>
        <w:rPr>
          <w:rFonts w:ascii="黑体" w:hAnsi="黑体" w:eastAsia="黑体"/>
          <w:b/>
          <w:bCs/>
        </w:rPr>
      </w:pPr>
      <w:r>
        <w:rPr>
          <w:rFonts w:ascii="黑体" w:hAnsi="黑体" w:eastAsia="黑体"/>
          <w:b/>
          <w:bCs/>
        </w:rPr>
        <w:drawing>
          <wp:inline distT="0" distB="0" distL="0" distR="0">
            <wp:extent cx="2618105" cy="29362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28632" cy="2947987"/>
                    </a:xfrm>
                    <a:prstGeom prst="rect">
                      <a:avLst/>
                    </a:prstGeom>
                    <a:noFill/>
                  </pic:spPr>
                </pic:pic>
              </a:graphicData>
            </a:graphic>
          </wp:inline>
        </w:drawing>
      </w:r>
      <w:r>
        <w:rPr>
          <w:rFonts w:ascii="黑体" w:hAnsi="黑体" w:eastAsia="黑体"/>
          <w:b/>
          <w:bCs/>
        </w:rPr>
        <w:drawing>
          <wp:inline distT="0" distB="0" distL="0" distR="0">
            <wp:extent cx="2458720" cy="29718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74533" cy="2990913"/>
                    </a:xfrm>
                    <a:prstGeom prst="rect">
                      <a:avLst/>
                    </a:prstGeom>
                    <a:noFill/>
                  </pic:spPr>
                </pic:pic>
              </a:graphicData>
            </a:graphic>
          </wp:inline>
        </w:drawing>
      </w:r>
    </w:p>
    <w:p>
      <w:pPr>
        <w:ind w:firstLine="2214" w:firstLineChars="1050"/>
        <w:rPr>
          <w:rFonts w:ascii="黑体" w:hAnsi="黑体" w:eastAsia="黑体"/>
          <w:b/>
          <w:bCs/>
        </w:rPr>
      </w:pPr>
      <w:r>
        <w:rPr>
          <w:rFonts w:hint="eastAsia" w:ascii="黑体" w:hAnsi="黑体" w:eastAsia="黑体"/>
          <w:b/>
          <w:bCs/>
        </w:rPr>
        <w:t>e</w:t>
      </w:r>
      <w:r>
        <w:rPr>
          <w:rFonts w:ascii="黑体" w:hAnsi="黑体" w:eastAsia="黑体"/>
          <w:b/>
          <w:bCs/>
        </w:rPr>
        <w:t>3                                  e4</w:t>
      </w:r>
    </w:p>
    <w:p>
      <w:pPr>
        <w:jc w:val="center"/>
        <w:rPr>
          <w:rFonts w:ascii="黑体" w:hAnsi="黑体" w:eastAsia="黑体"/>
          <w:b/>
          <w:bCs/>
        </w:rPr>
      </w:pPr>
      <w:r>
        <w:rPr>
          <w:rFonts w:ascii="黑体" w:hAnsi="黑体" w:eastAsia="黑体"/>
          <w:b/>
          <w:bCs/>
        </w:rPr>
        <w:t>图D</w:t>
      </w:r>
      <w:r>
        <w:rPr>
          <w:rFonts w:hint="eastAsia" w:ascii="黑体" w:hAnsi="黑体" w:eastAsia="黑体"/>
          <w:b/>
          <w:bCs/>
        </w:rPr>
        <w:t xml:space="preserve"> </w:t>
      </w:r>
      <w:r>
        <w:rPr>
          <w:rFonts w:ascii="黑体" w:hAnsi="黑体" w:eastAsia="黑体"/>
          <w:b/>
          <w:bCs/>
        </w:rPr>
        <w:t>e</w:t>
      </w:r>
      <w:r>
        <w:rPr>
          <w:rFonts w:hint="eastAsia" w:ascii="黑体" w:hAnsi="黑体" w:eastAsia="黑体"/>
          <w:b/>
          <w:bCs/>
        </w:rPr>
        <w:t>1 六种真菌毒素产蛋鸡饲料（</w:t>
      </w:r>
      <w:r>
        <w:rPr>
          <w:rFonts w:ascii="黑体" w:hAnsi="黑体" w:eastAsia="黑体"/>
          <w:b/>
          <w:bCs/>
        </w:rPr>
        <w:t>7</w:t>
      </w:r>
      <w:r>
        <w:rPr>
          <w:rFonts w:hint="eastAsia" w:ascii="黑体" w:hAnsi="黑体" w:eastAsia="黑体"/>
          <w:b/>
          <w:bCs/>
        </w:rPr>
        <w:t>-</w:t>
      </w:r>
      <w:r>
        <w:rPr>
          <w:rFonts w:ascii="黑体" w:hAnsi="黑体" w:eastAsia="黑体"/>
          <w:b/>
          <w:bCs/>
        </w:rPr>
        <w:t>16</w:t>
      </w:r>
      <w:r>
        <w:rPr>
          <w:rFonts w:hint="eastAsia" w:ascii="黑体" w:hAnsi="黑体" w:eastAsia="黑体"/>
          <w:b/>
          <w:bCs/>
        </w:rPr>
        <w:t>周）基质匹配标准溶液色谱图</w:t>
      </w:r>
    </w:p>
    <w:p>
      <w:pPr>
        <w:jc w:val="center"/>
        <w:rPr>
          <w:rFonts w:ascii="黑体" w:hAnsi="黑体" w:eastAsia="黑体"/>
          <w:b/>
          <w:bCs/>
        </w:rPr>
      </w:pPr>
      <w:r>
        <w:rPr>
          <w:rFonts w:ascii="黑体" w:hAnsi="黑体" w:eastAsia="黑体"/>
          <w:b/>
          <w:bCs/>
        </w:rPr>
        <w:t>e</w:t>
      </w:r>
      <w:r>
        <w:rPr>
          <w:rFonts w:hint="eastAsia" w:ascii="黑体" w:hAnsi="黑体" w:eastAsia="黑体"/>
          <w:b/>
          <w:bCs/>
        </w:rPr>
        <w:t>2 六种真菌毒素产蛋鸡饲料（</w:t>
      </w:r>
      <w:r>
        <w:rPr>
          <w:rFonts w:ascii="黑体" w:hAnsi="黑体" w:eastAsia="黑体"/>
          <w:b/>
          <w:bCs/>
        </w:rPr>
        <w:t>7</w:t>
      </w:r>
      <w:r>
        <w:rPr>
          <w:rFonts w:hint="eastAsia" w:ascii="黑体" w:hAnsi="黑体" w:eastAsia="黑体"/>
          <w:b/>
          <w:bCs/>
        </w:rPr>
        <w:t>-</w:t>
      </w:r>
      <w:r>
        <w:rPr>
          <w:rFonts w:ascii="黑体" w:hAnsi="黑体" w:eastAsia="黑体"/>
          <w:b/>
          <w:bCs/>
        </w:rPr>
        <w:t>16</w:t>
      </w:r>
      <w:r>
        <w:rPr>
          <w:rFonts w:hint="eastAsia" w:ascii="黑体" w:hAnsi="黑体" w:eastAsia="黑体"/>
          <w:b/>
          <w:bCs/>
        </w:rPr>
        <w:t>周）基质匹配标准溶液多反应质谱图</w:t>
      </w:r>
    </w:p>
    <w:p>
      <w:pPr>
        <w:jc w:val="center"/>
        <w:rPr>
          <w:rFonts w:ascii="黑体" w:hAnsi="黑体" w:eastAsia="黑体"/>
          <w:b/>
          <w:bCs/>
        </w:rPr>
      </w:pPr>
      <w:r>
        <w:rPr>
          <w:rFonts w:ascii="黑体" w:hAnsi="黑体" w:eastAsia="黑体"/>
          <w:b/>
          <w:bCs/>
        </w:rPr>
        <w:t>e3</w:t>
      </w:r>
      <w:r>
        <w:rPr>
          <w:rFonts w:hint="eastAsia" w:ascii="黑体" w:hAnsi="黑体" w:eastAsia="黑体"/>
          <w:b/>
          <w:bCs/>
        </w:rPr>
        <w:t xml:space="preserve"> 六种真菌毒素产蛋鸡饲料（</w:t>
      </w:r>
      <w:r>
        <w:rPr>
          <w:rFonts w:ascii="黑体" w:hAnsi="黑体" w:eastAsia="黑体"/>
          <w:b/>
          <w:bCs/>
        </w:rPr>
        <w:t>7</w:t>
      </w:r>
      <w:r>
        <w:rPr>
          <w:rFonts w:hint="eastAsia" w:ascii="黑体" w:hAnsi="黑体" w:eastAsia="黑体"/>
          <w:b/>
          <w:bCs/>
        </w:rPr>
        <w:t>-</w:t>
      </w:r>
      <w:r>
        <w:rPr>
          <w:rFonts w:ascii="黑体" w:hAnsi="黑体" w:eastAsia="黑体"/>
          <w:b/>
          <w:bCs/>
        </w:rPr>
        <w:t>16</w:t>
      </w:r>
      <w:r>
        <w:rPr>
          <w:rFonts w:hint="eastAsia" w:ascii="黑体" w:hAnsi="黑体" w:eastAsia="黑体"/>
          <w:b/>
          <w:bCs/>
        </w:rPr>
        <w:t>周）空白样品色谱图</w:t>
      </w:r>
    </w:p>
    <w:p>
      <w:pPr>
        <w:jc w:val="center"/>
        <w:rPr>
          <w:rFonts w:ascii="黑体" w:hAnsi="黑体" w:eastAsia="黑体"/>
          <w:b/>
          <w:bCs/>
        </w:rPr>
      </w:pPr>
      <w:r>
        <w:rPr>
          <w:rFonts w:ascii="黑体" w:hAnsi="黑体" w:eastAsia="黑体"/>
          <w:b/>
          <w:bCs/>
        </w:rPr>
        <w:t xml:space="preserve">e4 </w:t>
      </w:r>
      <w:r>
        <w:rPr>
          <w:rFonts w:hint="eastAsia" w:ascii="黑体" w:hAnsi="黑体" w:eastAsia="黑体"/>
          <w:b/>
          <w:bCs/>
        </w:rPr>
        <w:t>六种真菌毒素产蛋鸡饲料（</w:t>
      </w:r>
      <w:r>
        <w:rPr>
          <w:rFonts w:ascii="黑体" w:hAnsi="黑体" w:eastAsia="黑体"/>
          <w:b/>
          <w:bCs/>
        </w:rPr>
        <w:t>7</w:t>
      </w:r>
      <w:r>
        <w:rPr>
          <w:rFonts w:hint="eastAsia" w:ascii="黑体" w:hAnsi="黑体" w:eastAsia="黑体"/>
          <w:b/>
          <w:bCs/>
        </w:rPr>
        <w:t>-</w:t>
      </w:r>
      <w:r>
        <w:rPr>
          <w:rFonts w:ascii="黑体" w:hAnsi="黑体" w:eastAsia="黑体"/>
          <w:b/>
          <w:bCs/>
        </w:rPr>
        <w:t>16</w:t>
      </w:r>
      <w:r>
        <w:rPr>
          <w:rFonts w:hint="eastAsia" w:ascii="黑体" w:hAnsi="黑体" w:eastAsia="黑体"/>
          <w:b/>
          <w:bCs/>
        </w:rPr>
        <w:t>周）加标样品色谱图</w:t>
      </w:r>
    </w:p>
    <w:p>
      <w:pPr>
        <w:rPr>
          <w:rFonts w:ascii="黑体" w:hAnsi="黑体" w:eastAsia="黑体"/>
          <w:b/>
          <w:bCs/>
        </w:rPr>
      </w:pPr>
    </w:p>
    <w:p>
      <w:pPr>
        <w:jc w:val="center"/>
        <w:rPr>
          <w:rFonts w:ascii="黑体" w:hAnsi="黑体" w:eastAsia="黑体"/>
          <w:b/>
          <w:bCs/>
        </w:rPr>
      </w:pPr>
      <w:r>
        <w:rPr>
          <w:rFonts w:ascii="黑体" w:hAnsi="黑体" w:eastAsia="黑体"/>
          <w:b/>
          <w:bCs/>
        </w:rPr>
        <w:drawing>
          <wp:inline distT="0" distB="0" distL="0" distR="0">
            <wp:extent cx="3055620" cy="3194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9404" cy="3208005"/>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f1</w:t>
      </w:r>
    </w:p>
    <w:p>
      <w:pPr>
        <w:jc w:val="center"/>
        <w:rPr>
          <w:rFonts w:ascii="黑体" w:hAnsi="黑体" w:eastAsia="黑体"/>
          <w:b/>
          <w:bCs/>
        </w:rPr>
      </w:pPr>
      <w:r>
        <w:rPr>
          <w:rFonts w:ascii="黑体" w:hAnsi="黑体" w:eastAsia="黑体"/>
          <w:b/>
          <w:bCs/>
        </w:rPr>
        <w:drawing>
          <wp:inline distT="0" distB="0" distL="0" distR="0">
            <wp:extent cx="4925695" cy="3916680"/>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34042" cy="3923608"/>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f2</w:t>
      </w:r>
    </w:p>
    <w:p>
      <w:pPr>
        <w:rPr>
          <w:rFonts w:ascii="黑体" w:hAnsi="黑体" w:eastAsia="黑体"/>
          <w:b/>
          <w:bCs/>
        </w:rPr>
      </w:pPr>
      <w:r>
        <w:drawing>
          <wp:inline distT="0" distB="0" distL="0" distR="0">
            <wp:extent cx="2514600" cy="29140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6932" cy="2928605"/>
                    </a:xfrm>
                    <a:prstGeom prst="rect">
                      <a:avLst/>
                    </a:prstGeom>
                    <a:noFill/>
                  </pic:spPr>
                </pic:pic>
              </a:graphicData>
            </a:graphic>
          </wp:inline>
        </w:drawing>
      </w:r>
      <w:r>
        <w:t xml:space="preserve">  </w:t>
      </w:r>
      <w:r>
        <w:drawing>
          <wp:inline distT="0" distB="0" distL="0" distR="0">
            <wp:extent cx="2472055" cy="2914015"/>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78519" cy="2921463"/>
                    </a:xfrm>
                    <a:prstGeom prst="rect">
                      <a:avLst/>
                    </a:prstGeom>
                    <a:noFill/>
                  </pic:spPr>
                </pic:pic>
              </a:graphicData>
            </a:graphic>
          </wp:inline>
        </w:drawing>
      </w:r>
    </w:p>
    <w:p>
      <w:pPr>
        <w:ind w:firstLine="1792" w:firstLineChars="850"/>
        <w:rPr>
          <w:rFonts w:ascii="黑体" w:hAnsi="黑体" w:eastAsia="黑体"/>
          <w:b/>
          <w:bCs/>
        </w:rPr>
      </w:pPr>
      <w:r>
        <w:rPr>
          <w:rFonts w:hint="eastAsia" w:ascii="黑体" w:hAnsi="黑体" w:eastAsia="黑体"/>
          <w:b/>
          <w:bCs/>
        </w:rPr>
        <w:t>f</w:t>
      </w:r>
      <w:r>
        <w:rPr>
          <w:rFonts w:ascii="黑体" w:hAnsi="黑体" w:eastAsia="黑体"/>
          <w:b/>
          <w:bCs/>
        </w:rPr>
        <w:t>3                                          f4</w:t>
      </w:r>
    </w:p>
    <w:p>
      <w:pPr>
        <w:jc w:val="center"/>
        <w:rPr>
          <w:rFonts w:ascii="黑体" w:hAnsi="黑体" w:eastAsia="黑体"/>
          <w:b/>
          <w:bCs/>
        </w:rPr>
      </w:pPr>
      <w:r>
        <w:rPr>
          <w:rFonts w:ascii="黑体" w:hAnsi="黑体" w:eastAsia="黑体"/>
          <w:b/>
          <w:bCs/>
        </w:rPr>
        <w:t>图D f1</w:t>
      </w:r>
      <w:r>
        <w:rPr>
          <w:rFonts w:hint="eastAsia" w:ascii="黑体" w:hAnsi="黑体" w:eastAsia="黑体"/>
          <w:b/>
          <w:bCs/>
        </w:rPr>
        <w:t xml:space="preserve"> 六种真菌毒素产蛋鸡饲料(17周以后)基质匹配标准溶液色谱图</w:t>
      </w:r>
    </w:p>
    <w:p>
      <w:pPr>
        <w:jc w:val="center"/>
        <w:rPr>
          <w:rFonts w:ascii="黑体" w:hAnsi="黑体" w:eastAsia="黑体"/>
          <w:b/>
          <w:bCs/>
        </w:rPr>
      </w:pPr>
      <w:r>
        <w:rPr>
          <w:rFonts w:ascii="黑体" w:hAnsi="黑体" w:eastAsia="黑体"/>
          <w:b/>
          <w:bCs/>
        </w:rPr>
        <w:t>f2</w:t>
      </w:r>
      <w:r>
        <w:rPr>
          <w:rFonts w:hint="eastAsia" w:ascii="黑体" w:hAnsi="黑体" w:eastAsia="黑体"/>
          <w:b/>
          <w:bCs/>
        </w:rPr>
        <w:t xml:space="preserve"> 六种真菌毒素产蛋鸡饲料(17周以后)基质匹配标准溶液多反应质谱图</w:t>
      </w:r>
    </w:p>
    <w:p>
      <w:pPr>
        <w:jc w:val="center"/>
        <w:rPr>
          <w:rFonts w:ascii="黑体" w:hAnsi="黑体" w:eastAsia="黑体"/>
          <w:b/>
          <w:bCs/>
        </w:rPr>
      </w:pPr>
      <w:r>
        <w:rPr>
          <w:rFonts w:ascii="黑体" w:hAnsi="黑体" w:eastAsia="黑体"/>
          <w:b/>
          <w:bCs/>
        </w:rPr>
        <w:t>f3</w:t>
      </w:r>
      <w:r>
        <w:rPr>
          <w:rFonts w:hint="eastAsia" w:ascii="黑体" w:hAnsi="黑体" w:eastAsia="黑体"/>
          <w:b/>
          <w:bCs/>
        </w:rPr>
        <w:t xml:space="preserve"> 六种真菌毒素产蛋鸡饲料(17周以后)空白样品色谱图</w:t>
      </w:r>
    </w:p>
    <w:p>
      <w:pPr>
        <w:jc w:val="center"/>
        <w:rPr>
          <w:rFonts w:ascii="黑体" w:hAnsi="黑体" w:eastAsia="黑体"/>
          <w:b/>
          <w:bCs/>
        </w:rPr>
      </w:pPr>
      <w:r>
        <w:rPr>
          <w:rFonts w:ascii="黑体" w:hAnsi="黑体" w:eastAsia="黑体"/>
          <w:b/>
          <w:bCs/>
        </w:rPr>
        <w:t xml:space="preserve">f4 </w:t>
      </w:r>
      <w:r>
        <w:rPr>
          <w:rFonts w:hint="eastAsia" w:ascii="黑体" w:hAnsi="黑体" w:eastAsia="黑体"/>
          <w:b/>
          <w:bCs/>
        </w:rPr>
        <w:t>六种真菌毒素产蛋鸡饲料(17周以后)加标样品色谱图</w:t>
      </w:r>
      <w:bookmarkEnd w:id="5"/>
    </w:p>
    <w:p>
      <w:pPr>
        <w:jc w:val="center"/>
        <w:rPr>
          <w:rFonts w:ascii="黑体" w:hAnsi="黑体" w:eastAsia="黑体"/>
          <w:b/>
          <w:bCs/>
        </w:rPr>
      </w:pPr>
      <w:r>
        <w:rPr>
          <w:rFonts w:ascii="黑体" w:hAnsi="黑体" w:eastAsia="黑体"/>
          <w:b/>
          <w:bCs/>
        </w:rPr>
        <w:drawing>
          <wp:inline distT="0" distB="0" distL="0" distR="0">
            <wp:extent cx="3366135" cy="334518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71027" cy="3349638"/>
                    </a:xfrm>
                    <a:prstGeom prst="rect">
                      <a:avLst/>
                    </a:prstGeom>
                    <a:noFill/>
                  </pic:spPr>
                </pic:pic>
              </a:graphicData>
            </a:graphic>
          </wp:inline>
        </w:drawing>
      </w:r>
    </w:p>
    <w:p>
      <w:pPr>
        <w:jc w:val="center"/>
        <w:rPr>
          <w:rFonts w:ascii="黑体" w:hAnsi="黑体" w:eastAsia="黑体"/>
          <w:b/>
          <w:bCs/>
        </w:rPr>
      </w:pPr>
      <w:r>
        <w:rPr>
          <w:rFonts w:ascii="黑体" w:hAnsi="黑体" w:eastAsia="黑体"/>
          <w:b/>
          <w:bCs/>
        </w:rPr>
        <w:t>g1</w:t>
      </w:r>
    </w:p>
    <w:p>
      <w:pPr>
        <w:jc w:val="center"/>
        <w:rPr>
          <w:rFonts w:ascii="黑体" w:hAnsi="黑体" w:eastAsia="黑体"/>
          <w:b/>
          <w:bCs/>
        </w:rPr>
      </w:pPr>
      <w:r>
        <w:rPr>
          <w:rFonts w:ascii="黑体" w:hAnsi="黑体" w:eastAsia="黑体"/>
          <w:b/>
          <w:bCs/>
        </w:rPr>
        <w:drawing>
          <wp:inline distT="0" distB="0" distL="0" distR="0">
            <wp:extent cx="5262880" cy="34550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7385" cy="3464494"/>
                    </a:xfrm>
                    <a:prstGeom prst="rect">
                      <a:avLst/>
                    </a:prstGeom>
                    <a:noFill/>
                  </pic:spPr>
                </pic:pic>
              </a:graphicData>
            </a:graphic>
          </wp:inline>
        </w:drawing>
      </w:r>
    </w:p>
    <w:p>
      <w:pPr>
        <w:jc w:val="center"/>
        <w:rPr>
          <w:rFonts w:ascii="黑体" w:hAnsi="黑体" w:eastAsia="黑体"/>
          <w:b/>
          <w:bCs/>
        </w:rPr>
      </w:pPr>
      <w:r>
        <w:rPr>
          <w:rFonts w:hint="eastAsia" w:ascii="黑体" w:hAnsi="黑体" w:eastAsia="黑体"/>
          <w:b/>
          <w:bCs/>
        </w:rPr>
        <w:t>g</w:t>
      </w:r>
      <w:r>
        <w:rPr>
          <w:rFonts w:ascii="黑体" w:hAnsi="黑体" w:eastAsia="黑体"/>
          <w:b/>
          <w:bCs/>
        </w:rPr>
        <w:t>2</w:t>
      </w:r>
    </w:p>
    <w:p>
      <w:pPr>
        <w:jc w:val="left"/>
        <w:rPr>
          <w:rFonts w:ascii="黑体" w:hAnsi="黑体" w:eastAsia="黑体"/>
          <w:b/>
          <w:bCs/>
        </w:rPr>
      </w:pPr>
      <w:r>
        <w:rPr>
          <w:rFonts w:ascii="黑体" w:hAnsi="黑体" w:eastAsia="黑体"/>
          <w:b/>
          <w:bCs/>
        </w:rPr>
        <w:drawing>
          <wp:inline distT="0" distB="0" distL="0" distR="0">
            <wp:extent cx="2590165" cy="3013075"/>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97258" cy="3021450"/>
                    </a:xfrm>
                    <a:prstGeom prst="rect">
                      <a:avLst/>
                    </a:prstGeom>
                    <a:noFill/>
                  </pic:spPr>
                </pic:pic>
              </a:graphicData>
            </a:graphic>
          </wp:inline>
        </w:drawing>
      </w:r>
      <w:r>
        <w:rPr>
          <w:rFonts w:ascii="黑体" w:hAnsi="黑体" w:eastAsia="黑体"/>
          <w:b/>
          <w:bCs/>
        </w:rPr>
        <w:drawing>
          <wp:inline distT="0" distB="0" distL="0" distR="0">
            <wp:extent cx="2506980" cy="3012440"/>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23049" cy="3031893"/>
                    </a:xfrm>
                    <a:prstGeom prst="rect">
                      <a:avLst/>
                    </a:prstGeom>
                    <a:noFill/>
                  </pic:spPr>
                </pic:pic>
              </a:graphicData>
            </a:graphic>
          </wp:inline>
        </w:drawing>
      </w:r>
    </w:p>
    <w:p>
      <w:pPr>
        <w:ind w:firstLine="2214" w:firstLineChars="1050"/>
        <w:jc w:val="left"/>
        <w:rPr>
          <w:rFonts w:ascii="黑体" w:hAnsi="黑体" w:eastAsia="黑体"/>
          <w:b/>
          <w:bCs/>
        </w:rPr>
      </w:pPr>
      <w:r>
        <w:rPr>
          <w:rFonts w:hint="eastAsia" w:ascii="黑体" w:hAnsi="黑体" w:eastAsia="黑体"/>
          <w:b/>
          <w:bCs/>
        </w:rPr>
        <w:t>g</w:t>
      </w:r>
      <w:r>
        <w:rPr>
          <w:rFonts w:ascii="黑体" w:hAnsi="黑体" w:eastAsia="黑体"/>
          <w:b/>
          <w:bCs/>
        </w:rPr>
        <w:t>3                                   g4</w:t>
      </w:r>
    </w:p>
    <w:p>
      <w:pPr>
        <w:jc w:val="center"/>
        <w:rPr>
          <w:rFonts w:ascii="黑体" w:hAnsi="黑体" w:eastAsia="黑体"/>
          <w:b/>
          <w:bCs/>
        </w:rPr>
      </w:pPr>
      <w:r>
        <w:rPr>
          <w:rFonts w:ascii="黑体" w:hAnsi="黑体" w:eastAsia="黑体"/>
          <w:b/>
          <w:bCs/>
        </w:rPr>
        <w:t>图D g1</w:t>
      </w:r>
      <w:r>
        <w:rPr>
          <w:rFonts w:hint="eastAsia" w:ascii="黑体" w:hAnsi="黑体" w:eastAsia="黑体"/>
          <w:b/>
          <w:bCs/>
        </w:rPr>
        <w:t xml:space="preserve"> 六种真菌毒素猪饲料基质匹配标准溶液色谱图</w:t>
      </w:r>
    </w:p>
    <w:p>
      <w:pPr>
        <w:jc w:val="center"/>
        <w:rPr>
          <w:rFonts w:ascii="黑体" w:hAnsi="黑体" w:eastAsia="黑体"/>
          <w:b/>
          <w:bCs/>
        </w:rPr>
      </w:pPr>
      <w:r>
        <w:rPr>
          <w:rFonts w:hint="eastAsia" w:ascii="黑体" w:hAnsi="黑体" w:eastAsia="黑体"/>
          <w:b/>
          <w:bCs/>
        </w:rPr>
        <w:t>g</w:t>
      </w:r>
      <w:r>
        <w:rPr>
          <w:rFonts w:ascii="黑体" w:hAnsi="黑体" w:eastAsia="黑体"/>
          <w:b/>
          <w:bCs/>
        </w:rPr>
        <w:t>2</w:t>
      </w:r>
      <w:r>
        <w:rPr>
          <w:rFonts w:hint="eastAsia" w:ascii="黑体" w:hAnsi="黑体" w:eastAsia="黑体"/>
          <w:b/>
          <w:bCs/>
        </w:rPr>
        <w:t xml:space="preserve"> 六种真菌毒素猪饲料基质匹配标准溶液多反应质谱图</w:t>
      </w:r>
    </w:p>
    <w:p>
      <w:pPr>
        <w:jc w:val="center"/>
        <w:rPr>
          <w:rFonts w:ascii="黑体" w:hAnsi="黑体" w:eastAsia="黑体"/>
          <w:b/>
          <w:bCs/>
        </w:rPr>
      </w:pPr>
      <w:r>
        <w:rPr>
          <w:rFonts w:ascii="黑体" w:hAnsi="黑体" w:eastAsia="黑体"/>
          <w:b/>
          <w:bCs/>
        </w:rPr>
        <w:t>g3</w:t>
      </w:r>
      <w:r>
        <w:rPr>
          <w:rFonts w:hint="eastAsia" w:ascii="黑体" w:hAnsi="黑体" w:eastAsia="黑体"/>
          <w:b/>
          <w:bCs/>
        </w:rPr>
        <w:t xml:space="preserve"> 六种真菌毒素猪饲料空白样品色谱图</w:t>
      </w:r>
    </w:p>
    <w:p>
      <w:pPr>
        <w:jc w:val="center"/>
        <w:rPr>
          <w:rFonts w:ascii="黑体" w:hAnsi="黑体" w:eastAsia="黑体"/>
          <w:b/>
          <w:bCs/>
        </w:rPr>
      </w:pPr>
      <w:r>
        <w:rPr>
          <w:rFonts w:ascii="黑体" w:hAnsi="黑体" w:eastAsia="黑体"/>
          <w:b/>
          <w:bCs/>
        </w:rPr>
        <w:t xml:space="preserve">g4 </w:t>
      </w:r>
      <w:r>
        <w:rPr>
          <w:rFonts w:hint="eastAsia" w:ascii="黑体" w:hAnsi="黑体" w:eastAsia="黑体"/>
          <w:b/>
          <w:bCs/>
        </w:rPr>
        <w:t>六种真菌毒素猪饲料加标样品色谱图</w:t>
      </w:r>
    </w:p>
    <w:p>
      <w:pPr>
        <w:jc w:val="center"/>
        <w:rPr>
          <w:rFonts w:ascii="黑体" w:hAnsi="黑体" w:eastAsia="黑体"/>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10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40"/>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119"/>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983844"/>
    <w:multiLevelType w:val="multilevel"/>
    <w:tmpl w:val="0D983844"/>
    <w:lvl w:ilvl="0" w:tentative="0">
      <w:start w:val="1"/>
      <w:numFmt w:val="decimal"/>
      <w:pStyle w:val="12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0DDE2B46"/>
    <w:multiLevelType w:val="multilevel"/>
    <w:tmpl w:val="0DDE2B46"/>
    <w:lvl w:ilvl="0" w:tentative="0">
      <w:start w:val="1"/>
      <w:numFmt w:val="lowerLetter"/>
      <w:pStyle w:val="72"/>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1FC91163"/>
    <w:multiLevelType w:val="multilevel"/>
    <w:tmpl w:val="1FC91163"/>
    <w:lvl w:ilvl="0" w:tentative="0">
      <w:start w:val="1"/>
      <w:numFmt w:val="decimal"/>
      <w:pStyle w:val="68"/>
      <w:suff w:val="nothing"/>
      <w:lvlText w:val="%1　"/>
      <w:lvlJc w:val="left"/>
      <w:pPr>
        <w:ind w:left="0" w:firstLine="0"/>
      </w:pPr>
      <w:rPr>
        <w:rFonts w:hint="default" w:ascii="Times New Roman" w:hAnsi="Times New Roman" w:eastAsia="黑体" w:cs="Times New Roman"/>
        <w:b w:val="0"/>
        <w:i w:val="0"/>
        <w:sz w:val="21"/>
        <w:szCs w:val="21"/>
      </w:rPr>
    </w:lvl>
    <w:lvl w:ilvl="1" w:tentative="0">
      <w:start w:val="1"/>
      <w:numFmt w:val="decimal"/>
      <w:pStyle w:val="50"/>
      <w:suff w:val="nothing"/>
      <w:lvlText w:val="%1.%2　"/>
      <w:lvlJc w:val="left"/>
      <w:rPr>
        <w:rFonts w:hint="default" w:ascii="Times New Roman"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85"/>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2827D5B"/>
    <w:multiLevelType w:val="multilevel"/>
    <w:tmpl w:val="22827D5B"/>
    <w:lvl w:ilvl="0" w:tentative="0">
      <w:start w:val="1"/>
      <w:numFmt w:val="none"/>
      <w:pStyle w:val="69"/>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7">
    <w:nsid w:val="2A8F7113"/>
    <w:multiLevelType w:val="multilevel"/>
    <w:tmpl w:val="2A8F7113"/>
    <w:lvl w:ilvl="0" w:tentative="0">
      <w:start w:val="1"/>
      <w:numFmt w:val="upperLetter"/>
      <w:pStyle w:val="137"/>
      <w:suff w:val="space"/>
      <w:lvlText w:val="%1"/>
      <w:lvlJc w:val="left"/>
      <w:pPr>
        <w:ind w:left="623" w:hanging="425"/>
      </w:pPr>
      <w:rPr>
        <w:rFonts w:hint="eastAsia"/>
      </w:rPr>
    </w:lvl>
    <w:lvl w:ilvl="1" w:tentative="0">
      <w:start w:val="1"/>
      <w:numFmt w:val="decimal"/>
      <w:pStyle w:val="83"/>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8">
    <w:nsid w:val="2C5917C3"/>
    <w:multiLevelType w:val="multilevel"/>
    <w:tmpl w:val="2C5917C3"/>
    <w:lvl w:ilvl="0" w:tentative="0">
      <w:start w:val="1"/>
      <w:numFmt w:val="none"/>
      <w:pStyle w:val="94"/>
      <w:suff w:val="nothing"/>
      <w:lvlText w:val="%1——"/>
      <w:lvlJc w:val="left"/>
      <w:pPr>
        <w:ind w:left="833" w:hanging="408"/>
      </w:pPr>
      <w:rPr>
        <w:rFonts w:hint="eastAsia"/>
      </w:rPr>
    </w:lvl>
    <w:lvl w:ilvl="1" w:tentative="0">
      <w:start w:val="1"/>
      <w:numFmt w:val="bullet"/>
      <w:pStyle w:val="96"/>
      <w:lvlText w:val=""/>
      <w:lvlJc w:val="left"/>
      <w:pPr>
        <w:tabs>
          <w:tab w:val="left" w:pos="760"/>
        </w:tabs>
        <w:ind w:left="1264" w:hanging="413"/>
      </w:pPr>
      <w:rPr>
        <w:rFonts w:hint="default" w:ascii="Symbol" w:hAnsi="Symbol"/>
        <w:color w:val="auto"/>
      </w:rPr>
    </w:lvl>
    <w:lvl w:ilvl="2" w:tentative="0">
      <w:start w:val="1"/>
      <w:numFmt w:val="bullet"/>
      <w:pStyle w:val="7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9">
    <w:nsid w:val="3D733618"/>
    <w:multiLevelType w:val="multilevel"/>
    <w:tmpl w:val="3D733618"/>
    <w:lvl w:ilvl="0" w:tentative="0">
      <w:start w:val="1"/>
      <w:numFmt w:val="decimal"/>
      <w:pStyle w:val="21"/>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0">
    <w:nsid w:val="44C50F90"/>
    <w:multiLevelType w:val="multilevel"/>
    <w:tmpl w:val="44C50F90"/>
    <w:lvl w:ilvl="0" w:tentative="0">
      <w:start w:val="1"/>
      <w:numFmt w:val="lowerLetter"/>
      <w:pStyle w:val="91"/>
      <w:lvlText w:val="%1)"/>
      <w:lvlJc w:val="left"/>
      <w:pPr>
        <w:tabs>
          <w:tab w:val="left" w:pos="840"/>
        </w:tabs>
        <w:ind w:left="839" w:hanging="419"/>
      </w:pPr>
      <w:rPr>
        <w:rFonts w:hint="eastAsia" w:ascii="宋体" w:eastAsia="宋体"/>
        <w:b w:val="0"/>
        <w:i w:val="0"/>
        <w:sz w:val="21"/>
        <w:szCs w:val="21"/>
      </w:rPr>
    </w:lvl>
    <w:lvl w:ilvl="1" w:tentative="0">
      <w:start w:val="1"/>
      <w:numFmt w:val="decimal"/>
      <w:pStyle w:val="88"/>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4B733A5F"/>
    <w:multiLevelType w:val="multilevel"/>
    <w:tmpl w:val="4B733A5F"/>
    <w:lvl w:ilvl="0" w:tentative="0">
      <w:start w:val="1"/>
      <w:numFmt w:val="decimal"/>
      <w:pStyle w:val="67"/>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2">
    <w:nsid w:val="60B55DC2"/>
    <w:multiLevelType w:val="multilevel"/>
    <w:tmpl w:val="60B55DC2"/>
    <w:lvl w:ilvl="0" w:tentative="0">
      <w:start w:val="1"/>
      <w:numFmt w:val="upperLetter"/>
      <w:pStyle w:val="105"/>
      <w:lvlText w:val="%1"/>
      <w:lvlJc w:val="left"/>
      <w:pPr>
        <w:tabs>
          <w:tab w:val="left" w:pos="0"/>
        </w:tabs>
        <w:ind w:left="0" w:hanging="425"/>
      </w:pPr>
      <w:rPr>
        <w:rFonts w:hint="eastAsia"/>
      </w:rPr>
    </w:lvl>
    <w:lvl w:ilvl="1" w:tentative="0">
      <w:start w:val="1"/>
      <w:numFmt w:val="decimal"/>
      <w:pStyle w:val="7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
    <w:nsid w:val="646260FA"/>
    <w:multiLevelType w:val="multilevel"/>
    <w:tmpl w:val="646260FA"/>
    <w:lvl w:ilvl="0" w:tentative="0">
      <w:start w:val="1"/>
      <w:numFmt w:val="decimal"/>
      <w:pStyle w:val="12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pStyle w:val="9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56"/>
      <w:suff w:val="nothing"/>
      <w:lvlText w:val="%1.%2.%3.%4　"/>
      <w:lvlJc w:val="left"/>
      <w:pPr>
        <w:ind w:left="0" w:firstLine="0"/>
      </w:pPr>
      <w:rPr>
        <w:rFonts w:hint="eastAsia" w:ascii="黑体" w:hAnsi="Times New Roman" w:eastAsia="黑体"/>
        <w:b w:val="0"/>
        <w:i w:val="0"/>
        <w:sz w:val="21"/>
      </w:rPr>
    </w:lvl>
    <w:lvl w:ilvl="4" w:tentative="0">
      <w:start w:val="1"/>
      <w:numFmt w:val="decimal"/>
      <w:pStyle w:val="55"/>
      <w:suff w:val="nothing"/>
      <w:lvlText w:val="%1.%2.%3.%4.%5　"/>
      <w:lvlJc w:val="left"/>
      <w:pPr>
        <w:ind w:left="0" w:firstLine="0"/>
      </w:pPr>
      <w:rPr>
        <w:rFonts w:hint="eastAsia" w:ascii="黑体" w:hAnsi="Times New Roman" w:eastAsia="黑体"/>
        <w:b w:val="0"/>
        <w:i w:val="0"/>
        <w:sz w:val="21"/>
      </w:rPr>
    </w:lvl>
    <w:lvl w:ilvl="5" w:tentative="0">
      <w:start w:val="1"/>
      <w:numFmt w:val="decimal"/>
      <w:pStyle w:val="117"/>
      <w:suff w:val="nothing"/>
      <w:lvlText w:val="%1.%2.%3.%4.%5.%6　"/>
      <w:lvlJc w:val="left"/>
      <w:pPr>
        <w:ind w:left="0" w:firstLine="0"/>
      </w:pPr>
      <w:rPr>
        <w:rFonts w:hint="eastAsia" w:ascii="黑体" w:hAnsi="Times New Roman" w:eastAsia="黑体"/>
        <w:b w:val="0"/>
        <w:i w:val="0"/>
        <w:sz w:val="21"/>
      </w:rPr>
    </w:lvl>
    <w:lvl w:ilvl="6" w:tentative="0">
      <w:start w:val="1"/>
      <w:numFmt w:val="decimal"/>
      <w:pStyle w:val="11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5900CF0"/>
    <w:multiLevelType w:val="multilevel"/>
    <w:tmpl w:val="65900CF0"/>
    <w:lvl w:ilvl="0" w:tentative="0">
      <w:start w:val="1"/>
      <w:numFmt w:val="decimal"/>
      <w:pStyle w:val="13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6">
    <w:nsid w:val="6D6C07CD"/>
    <w:multiLevelType w:val="multilevel"/>
    <w:tmpl w:val="6D6C07CD"/>
    <w:lvl w:ilvl="0" w:tentative="0">
      <w:start w:val="1"/>
      <w:numFmt w:val="lowerLetter"/>
      <w:pStyle w:val="113"/>
      <w:lvlText w:val="%1)"/>
      <w:lvlJc w:val="left"/>
      <w:pPr>
        <w:tabs>
          <w:tab w:val="left" w:pos="839"/>
        </w:tabs>
        <w:ind w:left="839" w:hanging="419"/>
      </w:pPr>
      <w:rPr>
        <w:rFonts w:hint="eastAsia" w:ascii="宋体" w:eastAsia="宋体"/>
        <w:b w:val="0"/>
        <w:i w:val="0"/>
        <w:sz w:val="21"/>
      </w:rPr>
    </w:lvl>
    <w:lvl w:ilvl="1" w:tentative="0">
      <w:start w:val="1"/>
      <w:numFmt w:val="decimal"/>
      <w:pStyle w:val="136"/>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7">
    <w:nsid w:val="6DBF04F4"/>
    <w:multiLevelType w:val="multilevel"/>
    <w:tmpl w:val="6DBF04F4"/>
    <w:lvl w:ilvl="0" w:tentative="0">
      <w:start w:val="1"/>
      <w:numFmt w:val="none"/>
      <w:pStyle w:val="70"/>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9"/>
  </w:num>
  <w:num w:numId="2">
    <w:abstractNumId w:val="1"/>
  </w:num>
  <w:num w:numId="3">
    <w:abstractNumId w:val="5"/>
  </w:num>
  <w:num w:numId="4">
    <w:abstractNumId w:val="14"/>
  </w:num>
  <w:num w:numId="5">
    <w:abstractNumId w:val="11"/>
  </w:num>
  <w:num w:numId="6">
    <w:abstractNumId w:val="6"/>
  </w:num>
  <w:num w:numId="7">
    <w:abstractNumId w:val="17"/>
  </w:num>
  <w:num w:numId="8">
    <w:abstractNumId w:val="4"/>
  </w:num>
  <w:num w:numId="9">
    <w:abstractNumId w:val="12"/>
  </w:num>
  <w:num w:numId="10">
    <w:abstractNumId w:val="8"/>
  </w:num>
  <w:num w:numId="11">
    <w:abstractNumId w:val="7"/>
  </w:num>
  <w:num w:numId="12">
    <w:abstractNumId w:val="10"/>
  </w:num>
  <w:num w:numId="13">
    <w:abstractNumId w:val="0"/>
  </w:num>
  <w:num w:numId="14">
    <w:abstractNumId w:val="16"/>
  </w:num>
  <w:num w:numId="15">
    <w:abstractNumId w:val="2"/>
  </w:num>
  <w:num w:numId="16">
    <w:abstractNumId w:val="13"/>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D43"/>
    <w:rsid w:val="00044F30"/>
    <w:rsid w:val="00055850"/>
    <w:rsid w:val="00071180"/>
    <w:rsid w:val="00072B72"/>
    <w:rsid w:val="000B7E17"/>
    <w:rsid w:val="000D2E3A"/>
    <w:rsid w:val="000D420C"/>
    <w:rsid w:val="000F31D9"/>
    <w:rsid w:val="00100685"/>
    <w:rsid w:val="00106CEA"/>
    <w:rsid w:val="00110807"/>
    <w:rsid w:val="00135CDA"/>
    <w:rsid w:val="00171E19"/>
    <w:rsid w:val="001A2D43"/>
    <w:rsid w:val="001A70B6"/>
    <w:rsid w:val="001F0318"/>
    <w:rsid w:val="001F05A3"/>
    <w:rsid w:val="00247D2A"/>
    <w:rsid w:val="00291216"/>
    <w:rsid w:val="002C0DC3"/>
    <w:rsid w:val="002C726A"/>
    <w:rsid w:val="002E0EA3"/>
    <w:rsid w:val="003317B7"/>
    <w:rsid w:val="003428F8"/>
    <w:rsid w:val="003A22F4"/>
    <w:rsid w:val="003E1107"/>
    <w:rsid w:val="003F4022"/>
    <w:rsid w:val="004209E0"/>
    <w:rsid w:val="004B72D9"/>
    <w:rsid w:val="004E25EB"/>
    <w:rsid w:val="004F4083"/>
    <w:rsid w:val="00535CD6"/>
    <w:rsid w:val="006002F6"/>
    <w:rsid w:val="006456BF"/>
    <w:rsid w:val="00670397"/>
    <w:rsid w:val="006C13C0"/>
    <w:rsid w:val="006C47EA"/>
    <w:rsid w:val="00734EDC"/>
    <w:rsid w:val="007A3091"/>
    <w:rsid w:val="00800E32"/>
    <w:rsid w:val="0080311D"/>
    <w:rsid w:val="00813CC8"/>
    <w:rsid w:val="008D7C7E"/>
    <w:rsid w:val="00926F9C"/>
    <w:rsid w:val="009D29EA"/>
    <w:rsid w:val="00A26E8F"/>
    <w:rsid w:val="00A36324"/>
    <w:rsid w:val="00A37697"/>
    <w:rsid w:val="00A43C97"/>
    <w:rsid w:val="00A807B9"/>
    <w:rsid w:val="00A93D62"/>
    <w:rsid w:val="00AD786B"/>
    <w:rsid w:val="00AE1E3E"/>
    <w:rsid w:val="00B1188A"/>
    <w:rsid w:val="00C20E60"/>
    <w:rsid w:val="00C66823"/>
    <w:rsid w:val="00C8003C"/>
    <w:rsid w:val="00C8622E"/>
    <w:rsid w:val="00CE4FC0"/>
    <w:rsid w:val="00CF3535"/>
    <w:rsid w:val="00D22D8C"/>
    <w:rsid w:val="00D92CB6"/>
    <w:rsid w:val="00DA2238"/>
    <w:rsid w:val="00DE0FAE"/>
    <w:rsid w:val="00E20421"/>
    <w:rsid w:val="00E74C2E"/>
    <w:rsid w:val="00E919B3"/>
    <w:rsid w:val="00F017EC"/>
    <w:rsid w:val="00F03118"/>
    <w:rsid w:val="00F35B15"/>
    <w:rsid w:val="00F606E7"/>
    <w:rsid w:val="00F67319"/>
    <w:rsid w:val="00F70A27"/>
    <w:rsid w:val="00FB16D6"/>
    <w:rsid w:val="00FB3E9E"/>
    <w:rsid w:val="00FC5EA5"/>
    <w:rsid w:val="00FE1B1D"/>
    <w:rsid w:val="00FE3D25"/>
    <w:rsid w:val="68414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unhideWhenUsed="0" w:uiPriority="0" w:name="toc 9"/>
    <w:lsdException w:uiPriority="99" w:name="Normal Indent"/>
    <w:lsdException w:qFormat="1" w:unhideWhenUsed="0" w:uiPriority="0" w:semiHidden="0" w:name="footnote text"/>
    <w:lsdException w:uiPriority="99"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semiHidden/>
    <w:qFormat/>
    <w:uiPriority w:val="0"/>
    <w:pPr>
      <w:tabs>
        <w:tab w:val="right" w:leader="dot" w:pos="9241"/>
      </w:tabs>
      <w:ind w:firstLine="500" w:firstLineChars="500"/>
      <w:jc w:val="left"/>
    </w:pPr>
    <w:rPr>
      <w:rFonts w:ascii="宋体"/>
      <w:szCs w:val="21"/>
    </w:rPr>
  </w:style>
  <w:style w:type="paragraph" w:styleId="3">
    <w:name w:val="index 8"/>
    <w:basedOn w:val="1"/>
    <w:next w:val="1"/>
    <w:qFormat/>
    <w:uiPriority w:val="0"/>
    <w:pPr>
      <w:ind w:left="1680" w:hanging="210"/>
      <w:jc w:val="left"/>
    </w:pPr>
    <w:rPr>
      <w:rFonts w:ascii="Calibri" w:hAnsi="Calibri"/>
      <w:sz w:val="20"/>
      <w:szCs w:val="20"/>
    </w:rPr>
  </w:style>
  <w:style w:type="paragraph" w:styleId="4">
    <w:name w:val="caption"/>
    <w:basedOn w:val="1"/>
    <w:next w:val="1"/>
    <w:qFormat/>
    <w:uiPriority w:val="0"/>
    <w:pPr>
      <w:spacing w:before="152" w:after="160"/>
    </w:pPr>
    <w:rPr>
      <w:rFonts w:ascii="Arial" w:hAnsi="Arial" w:eastAsia="黑体" w:cs="Arial"/>
      <w:sz w:val="20"/>
      <w:szCs w:val="20"/>
    </w:rPr>
  </w:style>
  <w:style w:type="paragraph" w:styleId="5">
    <w:name w:val="index 5"/>
    <w:basedOn w:val="1"/>
    <w:next w:val="1"/>
    <w:qFormat/>
    <w:uiPriority w:val="0"/>
    <w:pPr>
      <w:ind w:left="1050" w:hanging="210"/>
      <w:jc w:val="left"/>
    </w:pPr>
    <w:rPr>
      <w:rFonts w:ascii="Calibri" w:hAnsi="Calibri"/>
      <w:sz w:val="20"/>
      <w:szCs w:val="20"/>
    </w:rPr>
  </w:style>
  <w:style w:type="paragraph" w:styleId="6">
    <w:name w:val="Document Map"/>
    <w:basedOn w:val="1"/>
    <w:link w:val="52"/>
    <w:semiHidden/>
    <w:qFormat/>
    <w:uiPriority w:val="0"/>
    <w:pPr>
      <w:shd w:val="clear" w:color="auto" w:fill="000080"/>
    </w:pPr>
  </w:style>
  <w:style w:type="paragraph" w:styleId="7">
    <w:name w:val="index 6"/>
    <w:basedOn w:val="1"/>
    <w:next w:val="1"/>
    <w:qFormat/>
    <w:uiPriority w:val="0"/>
    <w:pPr>
      <w:ind w:left="1260" w:hanging="210"/>
      <w:jc w:val="left"/>
    </w:pPr>
    <w:rPr>
      <w:rFonts w:ascii="Calibri" w:hAnsi="Calibri"/>
      <w:sz w:val="20"/>
      <w:szCs w:val="20"/>
    </w:rPr>
  </w:style>
  <w:style w:type="paragraph" w:styleId="8">
    <w:name w:val="index 4"/>
    <w:basedOn w:val="1"/>
    <w:next w:val="1"/>
    <w:qFormat/>
    <w:uiPriority w:val="0"/>
    <w:pPr>
      <w:ind w:left="840" w:hanging="210"/>
      <w:jc w:val="left"/>
    </w:pPr>
    <w:rPr>
      <w:rFonts w:ascii="Calibri" w:hAnsi="Calibri"/>
      <w:sz w:val="20"/>
      <w:szCs w:val="20"/>
    </w:rPr>
  </w:style>
  <w:style w:type="paragraph" w:styleId="9">
    <w:name w:val="toc 5"/>
    <w:basedOn w:val="1"/>
    <w:next w:val="1"/>
    <w:semiHidden/>
    <w:qFormat/>
    <w:uiPriority w:val="0"/>
    <w:pPr>
      <w:tabs>
        <w:tab w:val="right" w:leader="dot" w:pos="9241"/>
      </w:tabs>
      <w:ind w:firstLine="300" w:firstLineChars="300"/>
      <w:jc w:val="left"/>
    </w:pPr>
    <w:rPr>
      <w:rFonts w:ascii="宋体"/>
      <w:szCs w:val="21"/>
    </w:rPr>
  </w:style>
  <w:style w:type="paragraph" w:styleId="10">
    <w:name w:val="toc 3"/>
    <w:basedOn w:val="1"/>
    <w:next w:val="1"/>
    <w:semiHidden/>
    <w:qFormat/>
    <w:uiPriority w:val="0"/>
    <w:pPr>
      <w:tabs>
        <w:tab w:val="right" w:leader="dot" w:pos="9241"/>
      </w:tabs>
      <w:ind w:firstLine="100" w:firstLineChars="100"/>
      <w:jc w:val="left"/>
    </w:pPr>
    <w:rPr>
      <w:rFonts w:ascii="宋体"/>
      <w:szCs w:val="21"/>
    </w:rPr>
  </w:style>
  <w:style w:type="paragraph" w:styleId="11">
    <w:name w:val="toc 8"/>
    <w:basedOn w:val="1"/>
    <w:next w:val="1"/>
    <w:semiHidden/>
    <w:qFormat/>
    <w:uiPriority w:val="0"/>
    <w:pPr>
      <w:tabs>
        <w:tab w:val="right" w:leader="dot" w:pos="9241"/>
      </w:tabs>
      <w:ind w:firstLine="607" w:firstLineChars="600"/>
      <w:jc w:val="left"/>
    </w:pPr>
    <w:rPr>
      <w:rFonts w:ascii="宋体"/>
      <w:szCs w:val="21"/>
    </w:rPr>
  </w:style>
  <w:style w:type="paragraph" w:styleId="12">
    <w:name w:val="index 3"/>
    <w:basedOn w:val="1"/>
    <w:next w:val="1"/>
    <w:qFormat/>
    <w:uiPriority w:val="0"/>
    <w:pPr>
      <w:ind w:left="630" w:hanging="210"/>
      <w:jc w:val="left"/>
    </w:pPr>
    <w:rPr>
      <w:rFonts w:ascii="Calibri" w:hAnsi="Calibri"/>
      <w:sz w:val="20"/>
      <w:szCs w:val="20"/>
    </w:rPr>
  </w:style>
  <w:style w:type="paragraph" w:styleId="13">
    <w:name w:val="endnote text"/>
    <w:basedOn w:val="1"/>
    <w:link w:val="51"/>
    <w:semiHidden/>
    <w:qFormat/>
    <w:uiPriority w:val="0"/>
    <w:pPr>
      <w:snapToGrid w:val="0"/>
      <w:jc w:val="left"/>
    </w:pPr>
  </w:style>
  <w:style w:type="paragraph" w:styleId="14">
    <w:name w:val="Balloon Text"/>
    <w:basedOn w:val="1"/>
    <w:link w:val="149"/>
    <w:semiHidden/>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qFormat/>
    <w:uiPriority w:val="0"/>
    <w:pPr>
      <w:tabs>
        <w:tab w:val="right" w:leader="dot" w:pos="9242"/>
      </w:tabs>
      <w:spacing w:before="25" w:beforeLines="25" w:after="25" w:afterLines="25"/>
      <w:jc w:val="left"/>
    </w:pPr>
    <w:rPr>
      <w:rFonts w:ascii="宋体"/>
      <w:szCs w:val="21"/>
    </w:rPr>
  </w:style>
  <w:style w:type="paragraph" w:styleId="18">
    <w:name w:val="toc 4"/>
    <w:basedOn w:val="1"/>
    <w:next w:val="1"/>
    <w:semiHidden/>
    <w:qFormat/>
    <w:uiPriority w:val="0"/>
    <w:pPr>
      <w:tabs>
        <w:tab w:val="right" w:leader="dot" w:pos="9241"/>
      </w:tabs>
      <w:ind w:firstLine="200" w:firstLineChars="200"/>
      <w:jc w:val="left"/>
    </w:pPr>
    <w:rPr>
      <w:rFonts w:ascii="宋体"/>
      <w:szCs w:val="21"/>
    </w:rPr>
  </w:style>
  <w:style w:type="paragraph" w:styleId="19">
    <w:name w:val="index heading"/>
    <w:basedOn w:val="1"/>
    <w:next w:val="20"/>
    <w:qFormat/>
    <w:uiPriority w:val="0"/>
    <w:pPr>
      <w:spacing w:before="120" w:after="120"/>
      <w:jc w:val="center"/>
    </w:pPr>
    <w:rPr>
      <w:rFonts w:ascii="Calibri" w:hAnsi="Calibri"/>
      <w:b/>
      <w:bCs/>
      <w:iCs/>
      <w:szCs w:val="20"/>
    </w:rPr>
  </w:style>
  <w:style w:type="paragraph" w:styleId="20">
    <w:name w:val="index 1"/>
    <w:basedOn w:val="1"/>
    <w:next w:val="1"/>
    <w:unhideWhenUsed/>
    <w:qFormat/>
    <w:uiPriority w:val="0"/>
  </w:style>
  <w:style w:type="paragraph" w:styleId="21">
    <w:name w:val="footnote text"/>
    <w:basedOn w:val="1"/>
    <w:link w:val="53"/>
    <w:qFormat/>
    <w:uiPriority w:val="0"/>
    <w:pPr>
      <w:numPr>
        <w:ilvl w:val="0"/>
        <w:numId w:val="1"/>
      </w:numPr>
      <w:snapToGrid w:val="0"/>
      <w:jc w:val="left"/>
    </w:pPr>
    <w:rPr>
      <w:rFonts w:ascii="宋体"/>
      <w:sz w:val="18"/>
      <w:szCs w:val="18"/>
    </w:rPr>
  </w:style>
  <w:style w:type="paragraph" w:styleId="22">
    <w:name w:val="toc 6"/>
    <w:basedOn w:val="1"/>
    <w:next w:val="1"/>
    <w:semiHidden/>
    <w:qFormat/>
    <w:uiPriority w:val="0"/>
    <w:pPr>
      <w:tabs>
        <w:tab w:val="right" w:leader="dot" w:pos="9241"/>
      </w:tabs>
      <w:ind w:firstLine="400" w:firstLineChars="400"/>
      <w:jc w:val="left"/>
    </w:pPr>
    <w:rPr>
      <w:rFonts w:ascii="宋体"/>
      <w:szCs w:val="21"/>
    </w:rPr>
  </w:style>
  <w:style w:type="paragraph" w:styleId="23">
    <w:name w:val="index 7"/>
    <w:basedOn w:val="1"/>
    <w:next w:val="1"/>
    <w:uiPriority w:val="0"/>
    <w:pPr>
      <w:ind w:left="1470" w:hanging="210"/>
      <w:jc w:val="left"/>
    </w:pPr>
    <w:rPr>
      <w:rFonts w:ascii="Calibri" w:hAnsi="Calibri"/>
      <w:sz w:val="20"/>
      <w:szCs w:val="20"/>
    </w:rPr>
  </w:style>
  <w:style w:type="paragraph" w:styleId="24">
    <w:name w:val="index 9"/>
    <w:basedOn w:val="1"/>
    <w:next w:val="1"/>
    <w:qFormat/>
    <w:uiPriority w:val="0"/>
    <w:pPr>
      <w:ind w:left="1890" w:hanging="210"/>
      <w:jc w:val="left"/>
    </w:pPr>
    <w:rPr>
      <w:rFonts w:ascii="Calibri" w:hAnsi="Calibri"/>
      <w:sz w:val="20"/>
      <w:szCs w:val="20"/>
    </w:rPr>
  </w:style>
  <w:style w:type="paragraph" w:styleId="25">
    <w:name w:val="toc 2"/>
    <w:basedOn w:val="1"/>
    <w:next w:val="1"/>
    <w:semiHidden/>
    <w:qFormat/>
    <w:uiPriority w:val="0"/>
    <w:pPr>
      <w:tabs>
        <w:tab w:val="right" w:leader="dot" w:pos="9242"/>
      </w:tabs>
    </w:pPr>
    <w:rPr>
      <w:rFonts w:ascii="宋体"/>
      <w:szCs w:val="21"/>
    </w:rPr>
  </w:style>
  <w:style w:type="paragraph" w:styleId="26">
    <w:name w:val="toc 9"/>
    <w:basedOn w:val="1"/>
    <w:next w:val="1"/>
    <w:semiHidden/>
    <w:uiPriority w:val="0"/>
    <w:pPr>
      <w:ind w:left="1470"/>
      <w:jc w:val="left"/>
    </w:pPr>
    <w:rPr>
      <w:sz w:val="20"/>
      <w:szCs w:val="20"/>
    </w:rPr>
  </w:style>
  <w:style w:type="paragraph" w:styleId="27">
    <w:name w:val="index 2"/>
    <w:basedOn w:val="1"/>
    <w:next w:val="1"/>
    <w:uiPriority w:val="0"/>
    <w:pPr>
      <w:ind w:left="420" w:hanging="210"/>
      <w:jc w:val="left"/>
    </w:pPr>
    <w:rPr>
      <w:rFonts w:ascii="Calibri" w:hAnsi="Calibri"/>
      <w:sz w:val="20"/>
      <w:szCs w:val="20"/>
    </w:rPr>
  </w:style>
  <w:style w:type="paragraph" w:styleId="28">
    <w:name w:val="Title"/>
    <w:basedOn w:val="1"/>
    <w:next w:val="1"/>
    <w:link w:val="146"/>
    <w:qFormat/>
    <w:uiPriority w:val="0"/>
    <w:pPr>
      <w:spacing w:before="240" w:after="60"/>
      <w:jc w:val="center"/>
      <w:outlineLvl w:val="0"/>
    </w:pPr>
    <w:rPr>
      <w:rFonts w:ascii="等线 Light" w:hAnsi="等线 Light"/>
      <w:b/>
      <w:bCs/>
      <w:sz w:val="32"/>
      <w:szCs w:val="32"/>
    </w:rPr>
  </w:style>
  <w:style w:type="table" w:styleId="30">
    <w:name w:val="Table Grid"/>
    <w:basedOn w:val="29"/>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endnote reference"/>
    <w:semiHidden/>
    <w:qFormat/>
    <w:uiPriority w:val="0"/>
    <w:rPr>
      <w:vertAlign w:val="superscript"/>
    </w:rPr>
  </w:style>
  <w:style w:type="character" w:styleId="33">
    <w:name w:val="page number"/>
    <w:qFormat/>
    <w:uiPriority w:val="0"/>
    <w:rPr>
      <w:rFonts w:ascii="Times New Roman" w:hAnsi="Times New Roman" w:eastAsia="宋体"/>
      <w:sz w:val="18"/>
    </w:rPr>
  </w:style>
  <w:style w:type="character" w:styleId="34">
    <w:name w:val="FollowedHyperlink"/>
    <w:qFormat/>
    <w:uiPriority w:val="0"/>
    <w:rPr>
      <w:color w:val="800080"/>
      <w:u w:val="single"/>
    </w:rPr>
  </w:style>
  <w:style w:type="character" w:styleId="35">
    <w:name w:val="Hyperlink"/>
    <w:qFormat/>
    <w:uiPriority w:val="0"/>
    <w:rPr>
      <w:color w:val="0000FF"/>
      <w:spacing w:val="0"/>
      <w:w w:val="100"/>
      <w:szCs w:val="21"/>
      <w:u w:val="single"/>
      <w:lang w:val="en-US" w:eastAsia="zh-CN"/>
    </w:rPr>
  </w:style>
  <w:style w:type="character" w:styleId="36">
    <w:name w:val="footnote reference"/>
    <w:semiHidden/>
    <w:qFormat/>
    <w:uiPriority w:val="0"/>
    <w:rPr>
      <w:vertAlign w:val="superscript"/>
    </w:rPr>
  </w:style>
  <w:style w:type="character" w:customStyle="1" w:styleId="37">
    <w:name w:val="页眉 字符"/>
    <w:basedOn w:val="31"/>
    <w:link w:val="16"/>
    <w:qFormat/>
    <w:uiPriority w:val="99"/>
    <w:rPr>
      <w:sz w:val="18"/>
      <w:szCs w:val="18"/>
    </w:rPr>
  </w:style>
  <w:style w:type="character" w:customStyle="1" w:styleId="38">
    <w:name w:val="页脚 字符"/>
    <w:basedOn w:val="31"/>
    <w:link w:val="15"/>
    <w:qFormat/>
    <w:uiPriority w:val="99"/>
    <w:rPr>
      <w:sz w:val="18"/>
      <w:szCs w:val="18"/>
    </w:rPr>
  </w:style>
  <w:style w:type="character" w:customStyle="1" w:styleId="39">
    <w:name w:val="首示例 Char"/>
    <w:link w:val="40"/>
    <w:qFormat/>
    <w:uiPriority w:val="0"/>
    <w:rPr>
      <w:rFonts w:ascii="宋体" w:hAnsi="宋体"/>
      <w:sz w:val="18"/>
      <w:szCs w:val="18"/>
    </w:rPr>
  </w:style>
  <w:style w:type="paragraph" w:customStyle="1" w:styleId="40">
    <w:name w:val="首示例"/>
    <w:next w:val="41"/>
    <w:link w:val="39"/>
    <w:qFormat/>
    <w:uiPriority w:val="0"/>
    <w:pPr>
      <w:numPr>
        <w:ilvl w:val="0"/>
        <w:numId w:val="2"/>
      </w:numPr>
      <w:tabs>
        <w:tab w:val="left" w:pos="360"/>
      </w:tabs>
      <w:ind w:firstLine="0"/>
    </w:pPr>
    <w:rPr>
      <w:rFonts w:ascii="宋体" w:hAnsi="宋体" w:eastAsiaTheme="minorEastAsia" w:cstheme="minorBidi"/>
      <w:kern w:val="2"/>
      <w:sz w:val="18"/>
      <w:szCs w:val="18"/>
      <w:lang w:val="en-US" w:eastAsia="zh-CN" w:bidi="ar-SA"/>
    </w:rPr>
  </w:style>
  <w:style w:type="paragraph" w:customStyle="1" w:styleId="41">
    <w:name w:val="段"/>
    <w:link w:val="46"/>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42">
    <w:name w:val="fontstyle01"/>
    <w:qFormat/>
    <w:uiPriority w:val="0"/>
    <w:rPr>
      <w:rFonts w:hint="default" w:ascii="TimesNewRomanPSMT" w:hAnsi="TimesNewRomanPSMT"/>
      <w:color w:val="000000"/>
      <w:sz w:val="22"/>
      <w:szCs w:val="22"/>
    </w:rPr>
  </w:style>
  <w:style w:type="character" w:customStyle="1" w:styleId="43">
    <w:name w:val="fontstyle21"/>
    <w:qFormat/>
    <w:uiPriority w:val="0"/>
    <w:rPr>
      <w:rFonts w:hint="eastAsia" w:ascii="宋体" w:hAnsi="宋体" w:eastAsia="宋体"/>
      <w:color w:val="000000"/>
      <w:sz w:val="22"/>
      <w:szCs w:val="22"/>
    </w:rPr>
  </w:style>
  <w:style w:type="character" w:customStyle="1" w:styleId="44">
    <w:name w:val="发布"/>
    <w:qFormat/>
    <w:uiPriority w:val="0"/>
    <w:rPr>
      <w:rFonts w:ascii="黑体" w:eastAsia="黑体"/>
      <w:spacing w:val="85"/>
      <w:w w:val="100"/>
      <w:position w:val="3"/>
      <w:sz w:val="28"/>
      <w:szCs w:val="28"/>
    </w:rPr>
  </w:style>
  <w:style w:type="character" w:customStyle="1" w:styleId="45">
    <w:name w:val="附录公式 Char"/>
    <w:basedOn w:val="46"/>
    <w:link w:val="47"/>
    <w:qFormat/>
    <w:uiPriority w:val="0"/>
    <w:rPr>
      <w:rFonts w:ascii="宋体"/>
    </w:rPr>
  </w:style>
  <w:style w:type="character" w:customStyle="1" w:styleId="46">
    <w:name w:val="段 Char"/>
    <w:link w:val="41"/>
    <w:qFormat/>
    <w:uiPriority w:val="0"/>
    <w:rPr>
      <w:rFonts w:ascii="宋体"/>
    </w:rPr>
  </w:style>
  <w:style w:type="paragraph" w:customStyle="1" w:styleId="47">
    <w:name w:val="附录公式"/>
    <w:basedOn w:val="41"/>
    <w:next w:val="41"/>
    <w:link w:val="45"/>
    <w:qFormat/>
    <w:uiPriority w:val="0"/>
  </w:style>
  <w:style w:type="paragraph" w:customStyle="1" w:styleId="48">
    <w:name w:val="三级条标题"/>
    <w:basedOn w:val="49"/>
    <w:next w:val="41"/>
    <w:qFormat/>
    <w:uiPriority w:val="0"/>
    <w:pPr>
      <w:outlineLvl w:val="4"/>
    </w:pPr>
  </w:style>
  <w:style w:type="paragraph" w:customStyle="1" w:styleId="49">
    <w:name w:val="二级条标题"/>
    <w:basedOn w:val="50"/>
    <w:next w:val="41"/>
    <w:uiPriority w:val="0"/>
    <w:pPr>
      <w:numPr>
        <w:ilvl w:val="0"/>
        <w:numId w:val="0"/>
      </w:numPr>
      <w:spacing w:before="50" w:after="50"/>
      <w:outlineLvl w:val="3"/>
    </w:pPr>
  </w:style>
  <w:style w:type="paragraph" w:customStyle="1" w:styleId="50">
    <w:name w:val="一级条标题"/>
    <w:next w:val="41"/>
    <w:qFormat/>
    <w:uiPriority w:val="0"/>
    <w:pPr>
      <w:numPr>
        <w:ilvl w:val="1"/>
        <w:numId w:val="3"/>
      </w:numPr>
      <w:spacing w:before="156" w:beforeLines="50" w:after="156" w:afterLines="50"/>
      <w:outlineLvl w:val="2"/>
    </w:pPr>
    <w:rPr>
      <w:rFonts w:ascii="黑体" w:hAnsi="Times New Roman" w:eastAsia="黑体" w:cs="Times New Roman"/>
      <w:kern w:val="0"/>
      <w:sz w:val="21"/>
      <w:szCs w:val="21"/>
      <w:lang w:val="en-US" w:eastAsia="zh-CN" w:bidi="ar-SA"/>
    </w:rPr>
  </w:style>
  <w:style w:type="character" w:customStyle="1" w:styleId="51">
    <w:name w:val="尾注文本 字符"/>
    <w:basedOn w:val="31"/>
    <w:link w:val="13"/>
    <w:semiHidden/>
    <w:qFormat/>
    <w:uiPriority w:val="0"/>
    <w:rPr>
      <w:rFonts w:ascii="Times New Roman" w:hAnsi="Times New Roman" w:eastAsia="宋体" w:cs="Times New Roman"/>
      <w:szCs w:val="24"/>
    </w:rPr>
  </w:style>
  <w:style w:type="character" w:customStyle="1" w:styleId="52">
    <w:name w:val="文档结构图 字符"/>
    <w:basedOn w:val="31"/>
    <w:link w:val="6"/>
    <w:semiHidden/>
    <w:qFormat/>
    <w:uiPriority w:val="0"/>
    <w:rPr>
      <w:rFonts w:ascii="Times New Roman" w:hAnsi="Times New Roman" w:eastAsia="宋体" w:cs="Times New Roman"/>
      <w:szCs w:val="24"/>
      <w:shd w:val="clear" w:color="auto" w:fill="000080"/>
    </w:rPr>
  </w:style>
  <w:style w:type="character" w:customStyle="1" w:styleId="53">
    <w:name w:val="脚注文本 字符"/>
    <w:basedOn w:val="31"/>
    <w:link w:val="21"/>
    <w:qFormat/>
    <w:uiPriority w:val="0"/>
    <w:rPr>
      <w:rFonts w:ascii="宋体" w:hAnsi="Times New Roman" w:eastAsia="宋体" w:cs="Times New Roman"/>
      <w:sz w:val="18"/>
      <w:szCs w:val="18"/>
    </w:rPr>
  </w:style>
  <w:style w:type="paragraph" w:customStyle="1" w:styleId="54">
    <w:name w:val="标准书眉一"/>
    <w:uiPriority w:val="0"/>
    <w:pPr>
      <w:jc w:val="both"/>
    </w:pPr>
    <w:rPr>
      <w:rFonts w:ascii="Times New Roman" w:hAnsi="Times New Roman" w:eastAsia="宋体" w:cs="Times New Roman"/>
      <w:kern w:val="0"/>
      <w:sz w:val="20"/>
      <w:szCs w:val="20"/>
      <w:lang w:val="en-US" w:eastAsia="zh-CN" w:bidi="ar-SA"/>
    </w:rPr>
  </w:style>
  <w:style w:type="paragraph" w:customStyle="1" w:styleId="55">
    <w:name w:val="附录三级条标题"/>
    <w:basedOn w:val="56"/>
    <w:next w:val="41"/>
    <w:uiPriority w:val="0"/>
    <w:pPr>
      <w:numPr>
        <w:ilvl w:val="4"/>
      </w:numPr>
      <w:tabs>
        <w:tab w:val="left" w:pos="360"/>
      </w:tabs>
      <w:outlineLvl w:val="4"/>
    </w:pPr>
  </w:style>
  <w:style w:type="paragraph" w:customStyle="1" w:styleId="56">
    <w:name w:val="附录二级条标题"/>
    <w:basedOn w:val="1"/>
    <w:next w:val="41"/>
    <w:qFormat/>
    <w:uiPriority w:val="0"/>
    <w:pPr>
      <w:widowControl/>
      <w:numPr>
        <w:ilvl w:val="3"/>
        <w:numId w:val="4"/>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57">
    <w:name w:val="封面标准文稿类别2"/>
    <w:basedOn w:val="58"/>
    <w:qFormat/>
    <w:uiPriority w:val="0"/>
    <w:pPr>
      <w:framePr w:wrap="around" w:y="4469"/>
    </w:pPr>
  </w:style>
  <w:style w:type="paragraph" w:customStyle="1" w:styleId="58">
    <w:name w:val="封面标准文稿类别"/>
    <w:basedOn w:val="59"/>
    <w:uiPriority w:val="0"/>
    <w:pPr>
      <w:framePr w:wrap="around"/>
      <w:spacing w:after="160" w:line="240" w:lineRule="auto"/>
    </w:pPr>
    <w:rPr>
      <w:sz w:val="24"/>
    </w:rPr>
  </w:style>
  <w:style w:type="paragraph" w:customStyle="1" w:styleId="59">
    <w:name w:val="封面一致性程度标识"/>
    <w:basedOn w:val="60"/>
    <w:qFormat/>
    <w:uiPriority w:val="0"/>
    <w:pPr>
      <w:framePr w:wrap="around"/>
      <w:spacing w:before="440"/>
    </w:pPr>
    <w:rPr>
      <w:rFonts w:ascii="宋体" w:eastAsia="宋体"/>
    </w:rPr>
  </w:style>
  <w:style w:type="paragraph" w:customStyle="1" w:styleId="60">
    <w:name w:val="封面标准英文名称"/>
    <w:basedOn w:val="61"/>
    <w:qFormat/>
    <w:uiPriority w:val="0"/>
    <w:pPr>
      <w:framePr w:wrap="around"/>
      <w:spacing w:before="370" w:line="400" w:lineRule="exact"/>
    </w:pPr>
    <w:rPr>
      <w:rFonts w:ascii="Times New Roman"/>
      <w:sz w:val="28"/>
      <w:szCs w:val="28"/>
    </w:rPr>
  </w:style>
  <w:style w:type="paragraph" w:customStyle="1" w:styleId="61">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62">
    <w:name w:val="封面标准文稿编辑信息"/>
    <w:basedOn w:val="58"/>
    <w:qFormat/>
    <w:uiPriority w:val="0"/>
    <w:pPr>
      <w:framePr w:wrap="around"/>
      <w:spacing w:before="180" w:line="180" w:lineRule="exact"/>
    </w:pPr>
    <w:rPr>
      <w:sz w:val="21"/>
    </w:rPr>
  </w:style>
  <w:style w:type="paragraph" w:customStyle="1" w:styleId="63">
    <w:name w:val="其他标准标志"/>
    <w:basedOn w:val="64"/>
    <w:qFormat/>
    <w:uiPriority w:val="0"/>
    <w:pPr>
      <w:framePr w:w="6101" w:wrap="around" w:vAnchor="page" w:hAnchor="page" w:x="4673" w:y="942"/>
    </w:pPr>
    <w:rPr>
      <w:w w:val="130"/>
    </w:rPr>
  </w:style>
  <w:style w:type="paragraph" w:customStyle="1" w:styleId="6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kern w:val="0"/>
      <w:sz w:val="96"/>
      <w:szCs w:val="96"/>
      <w:lang w:val="en-US" w:eastAsia="zh-CN" w:bidi="ar-SA"/>
    </w:rPr>
  </w:style>
  <w:style w:type="paragraph" w:customStyle="1" w:styleId="6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66">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67">
    <w:name w:val="示例×："/>
    <w:basedOn w:val="68"/>
    <w:qFormat/>
    <w:uiPriority w:val="0"/>
    <w:pPr>
      <w:numPr>
        <w:numId w:val="5"/>
      </w:numPr>
      <w:spacing w:before="0" w:beforeLines="0" w:after="0" w:afterLines="0"/>
      <w:outlineLvl w:val="9"/>
    </w:pPr>
    <w:rPr>
      <w:rFonts w:ascii="宋体" w:eastAsia="宋体"/>
      <w:sz w:val="18"/>
      <w:szCs w:val="18"/>
    </w:rPr>
  </w:style>
  <w:style w:type="paragraph" w:customStyle="1" w:styleId="68">
    <w:name w:val="章标题"/>
    <w:next w:val="41"/>
    <w:uiPriority w:val="0"/>
    <w:pPr>
      <w:numPr>
        <w:ilvl w:val="0"/>
        <w:numId w:val="3"/>
      </w:num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69">
    <w:name w:val="注：（正文）"/>
    <w:basedOn w:val="70"/>
    <w:next w:val="41"/>
    <w:uiPriority w:val="0"/>
    <w:pPr>
      <w:numPr>
        <w:ilvl w:val="0"/>
        <w:numId w:val="6"/>
      </w:numPr>
    </w:pPr>
  </w:style>
  <w:style w:type="paragraph" w:customStyle="1" w:styleId="70">
    <w:name w:val="注："/>
    <w:next w:val="41"/>
    <w:qFormat/>
    <w:uiPriority w:val="0"/>
    <w:pPr>
      <w:widowControl w:val="0"/>
      <w:numPr>
        <w:ilvl w:val="0"/>
        <w:numId w:val="7"/>
      </w:numPr>
      <w:autoSpaceDE w:val="0"/>
      <w:autoSpaceDN w:val="0"/>
      <w:jc w:val="both"/>
    </w:pPr>
    <w:rPr>
      <w:rFonts w:ascii="宋体" w:hAnsi="Times New Roman" w:eastAsia="宋体" w:cs="Times New Roman"/>
      <w:kern w:val="0"/>
      <w:sz w:val="18"/>
      <w:szCs w:val="18"/>
      <w:lang w:val="en-US" w:eastAsia="zh-CN" w:bidi="ar-SA"/>
    </w:rPr>
  </w:style>
  <w:style w:type="paragraph" w:customStyle="1" w:styleId="71">
    <w:name w:val="图标脚注说明"/>
    <w:basedOn w:val="41"/>
    <w:qFormat/>
    <w:uiPriority w:val="0"/>
    <w:pPr>
      <w:ind w:left="840" w:hanging="420" w:firstLineChars="0"/>
    </w:pPr>
    <w:rPr>
      <w:sz w:val="18"/>
      <w:szCs w:val="18"/>
    </w:rPr>
  </w:style>
  <w:style w:type="paragraph" w:customStyle="1" w:styleId="72">
    <w:name w:val="图表脚注说明"/>
    <w:basedOn w:val="1"/>
    <w:qFormat/>
    <w:uiPriority w:val="0"/>
    <w:pPr>
      <w:numPr>
        <w:ilvl w:val="0"/>
        <w:numId w:val="8"/>
      </w:numPr>
    </w:pPr>
    <w:rPr>
      <w:rFonts w:ascii="宋体"/>
      <w:sz w:val="18"/>
      <w:szCs w:val="18"/>
    </w:rPr>
  </w:style>
  <w:style w:type="paragraph" w:customStyle="1" w:styleId="73">
    <w:name w:val="目次、标准名称标题"/>
    <w:basedOn w:val="1"/>
    <w:next w:val="41"/>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74">
    <w:name w:val="附录表标题"/>
    <w:basedOn w:val="1"/>
    <w:next w:val="41"/>
    <w:uiPriority w:val="0"/>
    <w:pPr>
      <w:numPr>
        <w:ilvl w:val="1"/>
        <w:numId w:val="9"/>
      </w:numPr>
      <w:tabs>
        <w:tab w:val="left" w:pos="180"/>
      </w:tabs>
      <w:spacing w:before="50" w:beforeLines="50" w:after="50" w:afterLines="50"/>
      <w:ind w:left="0" w:firstLine="0"/>
      <w:jc w:val="center"/>
    </w:pPr>
    <w:rPr>
      <w:rFonts w:ascii="黑体" w:eastAsia="黑体"/>
      <w:szCs w:val="21"/>
    </w:rPr>
  </w:style>
  <w:style w:type="paragraph" w:customStyle="1" w:styleId="75">
    <w:name w:val="目次、索引正文"/>
    <w:uiPriority w:val="0"/>
    <w:pPr>
      <w:spacing w:line="320" w:lineRule="exact"/>
      <w:jc w:val="both"/>
    </w:pPr>
    <w:rPr>
      <w:rFonts w:ascii="宋体" w:hAnsi="Times New Roman" w:eastAsia="宋体" w:cs="Times New Roman"/>
      <w:kern w:val="0"/>
      <w:sz w:val="21"/>
      <w:szCs w:val="20"/>
      <w:lang w:val="en-US" w:eastAsia="zh-CN" w:bidi="ar-SA"/>
    </w:rPr>
  </w:style>
  <w:style w:type="paragraph" w:customStyle="1" w:styleId="76">
    <w:name w:val="附录章标题"/>
    <w:next w:val="41"/>
    <w:qFormat/>
    <w:uiPriority w:val="0"/>
    <w:pPr>
      <w:numPr>
        <w:ilvl w:val="1"/>
        <w:numId w:val="4"/>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77">
    <w:name w:val="列项◆（三级）"/>
    <w:basedOn w:val="1"/>
    <w:uiPriority w:val="0"/>
    <w:pPr>
      <w:numPr>
        <w:ilvl w:val="2"/>
        <w:numId w:val="10"/>
      </w:numPr>
    </w:pPr>
    <w:rPr>
      <w:rFonts w:ascii="宋体"/>
      <w:szCs w:val="21"/>
    </w:rPr>
  </w:style>
  <w:style w:type="paragraph" w:customStyle="1" w:styleId="78">
    <w:name w:val="附录三级无"/>
    <w:basedOn w:val="55"/>
    <w:qFormat/>
    <w:uiPriority w:val="0"/>
    <w:pPr>
      <w:tabs>
        <w:tab w:val="clear" w:pos="360"/>
      </w:tabs>
      <w:spacing w:before="0" w:beforeLines="0" w:after="0" w:afterLines="0"/>
    </w:pPr>
    <w:rPr>
      <w:rFonts w:ascii="宋体" w:eastAsia="宋体"/>
      <w:szCs w:val="21"/>
    </w:rPr>
  </w:style>
  <w:style w:type="paragraph" w:customStyle="1" w:styleId="79">
    <w:name w:val="二级无"/>
    <w:basedOn w:val="49"/>
    <w:qFormat/>
    <w:uiPriority w:val="0"/>
    <w:pPr>
      <w:spacing w:before="0" w:beforeLines="0" w:after="0" w:afterLines="0"/>
    </w:pPr>
    <w:rPr>
      <w:rFonts w:ascii="宋体" w:eastAsia="宋体"/>
    </w:rPr>
  </w:style>
  <w:style w:type="paragraph" w:customStyle="1" w:styleId="80">
    <w:name w:val="标准书脚_偶数页"/>
    <w:qFormat/>
    <w:uiPriority w:val="0"/>
    <w:pPr>
      <w:spacing w:before="120"/>
      <w:ind w:left="221"/>
    </w:pPr>
    <w:rPr>
      <w:rFonts w:ascii="宋体" w:hAnsi="Times New Roman" w:eastAsia="宋体" w:cs="Times New Roman"/>
      <w:kern w:val="0"/>
      <w:sz w:val="18"/>
      <w:szCs w:val="18"/>
      <w:lang w:val="en-US" w:eastAsia="zh-CN" w:bidi="ar-SA"/>
    </w:rPr>
  </w:style>
  <w:style w:type="paragraph" w:customStyle="1" w:styleId="81">
    <w:name w:val="参考文献、索引标题"/>
    <w:basedOn w:val="1"/>
    <w:next w:val="41"/>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82">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83">
    <w:name w:val="附录图标题"/>
    <w:basedOn w:val="1"/>
    <w:next w:val="41"/>
    <w:qFormat/>
    <w:uiPriority w:val="0"/>
    <w:pPr>
      <w:numPr>
        <w:ilvl w:val="1"/>
        <w:numId w:val="11"/>
      </w:numPr>
      <w:tabs>
        <w:tab w:val="left" w:pos="363"/>
      </w:tabs>
      <w:spacing w:before="50" w:beforeLines="50" w:after="50" w:afterLines="50"/>
      <w:ind w:left="0" w:firstLine="0"/>
      <w:jc w:val="center"/>
    </w:pPr>
    <w:rPr>
      <w:rFonts w:ascii="黑体" w:eastAsia="黑体"/>
      <w:szCs w:val="21"/>
    </w:rPr>
  </w:style>
  <w:style w:type="paragraph" w:customStyle="1" w:styleId="84">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0"/>
      <w:sz w:val="48"/>
      <w:szCs w:val="20"/>
      <w:lang w:val="en-US" w:eastAsia="zh-CN" w:bidi="ar-SA"/>
    </w:rPr>
  </w:style>
  <w:style w:type="paragraph" w:customStyle="1" w:styleId="85">
    <w:name w:val="四级条标题"/>
    <w:basedOn w:val="48"/>
    <w:next w:val="41"/>
    <w:uiPriority w:val="0"/>
    <w:pPr>
      <w:numPr>
        <w:ilvl w:val="4"/>
        <w:numId w:val="3"/>
      </w:numPr>
      <w:outlineLvl w:val="5"/>
    </w:pPr>
  </w:style>
  <w:style w:type="paragraph" w:customStyle="1" w:styleId="86">
    <w:name w:val="发布日期"/>
    <w:qFormat/>
    <w:uiPriority w:val="0"/>
    <w:pPr>
      <w:framePr w:w="3997" w:h="471" w:hRule="exact" w:vSpace="181" w:wrap="around" w:vAnchor="margin" w:hAnchor="page" w:x="7089" w:y="14097" w:anchorLock="1"/>
    </w:pPr>
    <w:rPr>
      <w:rFonts w:ascii="Times New Roman" w:hAnsi="Times New Roman" w:eastAsia="黑体" w:cs="Times New Roman"/>
      <w:kern w:val="0"/>
      <w:sz w:val="28"/>
      <w:szCs w:val="20"/>
      <w:lang w:val="en-US" w:eastAsia="zh-CN" w:bidi="ar-SA"/>
    </w:rPr>
  </w:style>
  <w:style w:type="paragraph" w:customStyle="1" w:styleId="87">
    <w:name w:val="标准书眉_奇数页"/>
    <w:next w:val="1"/>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88">
    <w:name w:val="数字编号列项（二级）"/>
    <w:qFormat/>
    <w:uiPriority w:val="0"/>
    <w:pPr>
      <w:numPr>
        <w:ilvl w:val="1"/>
        <w:numId w:val="12"/>
      </w:numPr>
      <w:jc w:val="both"/>
    </w:pPr>
    <w:rPr>
      <w:rFonts w:ascii="宋体" w:hAnsi="Times New Roman" w:eastAsia="宋体" w:cs="Times New Roman"/>
      <w:kern w:val="0"/>
      <w:sz w:val="21"/>
      <w:szCs w:val="20"/>
      <w:lang w:val="en-US" w:eastAsia="zh-CN" w:bidi="ar-SA"/>
    </w:rPr>
  </w:style>
  <w:style w:type="paragraph" w:customStyle="1" w:styleId="89">
    <w:name w:val="示例内容"/>
    <w:uiPriority w:val="0"/>
    <w:pPr>
      <w:ind w:firstLine="200" w:firstLineChars="200"/>
    </w:pPr>
    <w:rPr>
      <w:rFonts w:ascii="宋体" w:hAnsi="Times New Roman" w:eastAsia="宋体" w:cs="Times New Roman"/>
      <w:kern w:val="0"/>
      <w:sz w:val="18"/>
      <w:szCs w:val="18"/>
      <w:lang w:val="en-US" w:eastAsia="zh-CN" w:bidi="ar-SA"/>
    </w:rPr>
  </w:style>
  <w:style w:type="paragraph" w:customStyle="1" w:styleId="90">
    <w:name w:val="附录标题"/>
    <w:basedOn w:val="41"/>
    <w:next w:val="41"/>
    <w:qFormat/>
    <w:uiPriority w:val="0"/>
    <w:pPr>
      <w:ind w:firstLine="0" w:firstLineChars="0"/>
      <w:jc w:val="center"/>
    </w:pPr>
    <w:rPr>
      <w:rFonts w:ascii="黑体" w:eastAsia="黑体"/>
    </w:rPr>
  </w:style>
  <w:style w:type="paragraph" w:customStyle="1" w:styleId="91">
    <w:name w:val="字母编号列项（一级）"/>
    <w:qFormat/>
    <w:uiPriority w:val="0"/>
    <w:pPr>
      <w:numPr>
        <w:ilvl w:val="0"/>
        <w:numId w:val="12"/>
      </w:numPr>
      <w:jc w:val="both"/>
    </w:pPr>
    <w:rPr>
      <w:rFonts w:ascii="宋体" w:hAnsi="Times New Roman" w:eastAsia="宋体" w:cs="Times New Roman"/>
      <w:kern w:val="0"/>
      <w:sz w:val="21"/>
      <w:szCs w:val="20"/>
      <w:lang w:val="en-US" w:eastAsia="zh-CN" w:bidi="ar-SA"/>
    </w:rPr>
  </w:style>
  <w:style w:type="paragraph" w:customStyle="1" w:styleId="92">
    <w:name w:val="前言、引言标题"/>
    <w:next w:val="41"/>
    <w:uiPriority w:val="0"/>
    <w:pPr>
      <w:keepNext/>
      <w:pageBreakBefore/>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93">
    <w:name w:val="附录二级无"/>
    <w:basedOn w:val="56"/>
    <w:qFormat/>
    <w:uiPriority w:val="0"/>
    <w:pPr>
      <w:tabs>
        <w:tab w:val="clear" w:pos="360"/>
      </w:tabs>
      <w:spacing w:before="0" w:beforeLines="0" w:after="0" w:afterLines="0"/>
    </w:pPr>
    <w:rPr>
      <w:rFonts w:ascii="宋体" w:eastAsia="宋体"/>
      <w:szCs w:val="21"/>
    </w:rPr>
  </w:style>
  <w:style w:type="paragraph" w:customStyle="1" w:styleId="94">
    <w:name w:val="列项——（一级）"/>
    <w:uiPriority w:val="0"/>
    <w:pPr>
      <w:widowControl w:val="0"/>
      <w:numPr>
        <w:ilvl w:val="0"/>
        <w:numId w:val="10"/>
      </w:numPr>
      <w:jc w:val="both"/>
    </w:pPr>
    <w:rPr>
      <w:rFonts w:ascii="宋体" w:hAnsi="Times New Roman" w:eastAsia="宋体" w:cs="Times New Roman"/>
      <w:kern w:val="0"/>
      <w:sz w:val="21"/>
      <w:szCs w:val="20"/>
      <w:lang w:val="en-US" w:eastAsia="zh-CN" w:bidi="ar-SA"/>
    </w:rPr>
  </w:style>
  <w:style w:type="paragraph" w:customStyle="1" w:styleId="95">
    <w:name w:val="正文公式编号制表符"/>
    <w:basedOn w:val="41"/>
    <w:next w:val="41"/>
    <w:qFormat/>
    <w:uiPriority w:val="0"/>
    <w:pPr>
      <w:ind w:firstLine="0" w:firstLineChars="0"/>
    </w:pPr>
  </w:style>
  <w:style w:type="paragraph" w:customStyle="1" w:styleId="96">
    <w:name w:val="列项●（二级）"/>
    <w:qFormat/>
    <w:uiPriority w:val="0"/>
    <w:pPr>
      <w:numPr>
        <w:ilvl w:val="1"/>
        <w:numId w:val="10"/>
      </w:numPr>
      <w:tabs>
        <w:tab w:val="left" w:pos="840"/>
      </w:tabs>
      <w:jc w:val="both"/>
    </w:pPr>
    <w:rPr>
      <w:rFonts w:ascii="宋体" w:hAnsi="Times New Roman" w:eastAsia="宋体" w:cs="Times New Roman"/>
      <w:kern w:val="0"/>
      <w:sz w:val="21"/>
      <w:szCs w:val="20"/>
      <w:lang w:val="en-US" w:eastAsia="zh-CN" w:bidi="ar-SA"/>
    </w:rPr>
  </w:style>
  <w:style w:type="paragraph" w:customStyle="1" w:styleId="97">
    <w:name w:val="附录标识"/>
    <w:basedOn w:val="1"/>
    <w:next w:val="41"/>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98">
    <w:name w:val="封面标准英文名称2"/>
    <w:basedOn w:val="60"/>
    <w:uiPriority w:val="0"/>
    <w:pPr>
      <w:framePr w:wrap="around" w:y="4469"/>
    </w:pPr>
  </w:style>
  <w:style w:type="paragraph" w:customStyle="1" w:styleId="9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100">
    <w:name w:val="注×："/>
    <w:qFormat/>
    <w:uiPriority w:val="0"/>
    <w:pPr>
      <w:widowControl w:val="0"/>
      <w:numPr>
        <w:ilvl w:val="0"/>
        <w:numId w:val="13"/>
      </w:numPr>
      <w:autoSpaceDE w:val="0"/>
      <w:autoSpaceDN w:val="0"/>
      <w:jc w:val="both"/>
    </w:pPr>
    <w:rPr>
      <w:rFonts w:ascii="宋体" w:hAnsi="Times New Roman" w:eastAsia="宋体" w:cs="Times New Roman"/>
      <w:kern w:val="0"/>
      <w:sz w:val="18"/>
      <w:szCs w:val="18"/>
      <w:lang w:val="en-US" w:eastAsia="zh-CN" w:bidi="ar-SA"/>
    </w:rPr>
  </w:style>
  <w:style w:type="paragraph" w:customStyle="1" w:styleId="101">
    <w:name w:val="列项说明"/>
    <w:basedOn w:val="1"/>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2">
    <w:name w:val="附录一级无"/>
    <w:basedOn w:val="103"/>
    <w:qFormat/>
    <w:uiPriority w:val="0"/>
    <w:pPr>
      <w:spacing w:before="0" w:beforeLines="0" w:after="0" w:afterLines="0"/>
    </w:pPr>
    <w:rPr>
      <w:rFonts w:ascii="宋体" w:eastAsia="宋体"/>
      <w:szCs w:val="21"/>
    </w:rPr>
  </w:style>
  <w:style w:type="paragraph" w:customStyle="1" w:styleId="103">
    <w:name w:val="附录一级条标题"/>
    <w:basedOn w:val="76"/>
    <w:next w:val="41"/>
    <w:uiPriority w:val="0"/>
    <w:pPr>
      <w:numPr>
        <w:ilvl w:val="0"/>
        <w:numId w:val="0"/>
      </w:numPr>
      <w:autoSpaceDN w:val="0"/>
      <w:spacing w:before="50" w:beforeLines="50" w:after="50" w:afterLines="50"/>
      <w:outlineLvl w:val="2"/>
    </w:pPr>
  </w:style>
  <w:style w:type="paragraph" w:customStyle="1" w:styleId="104">
    <w:name w:val="图的脚注"/>
    <w:next w:val="41"/>
    <w:qFormat/>
    <w:uiPriority w:val="0"/>
    <w:pPr>
      <w:widowControl w:val="0"/>
      <w:ind w:left="840" w:leftChars="200" w:hanging="420" w:hangingChars="200"/>
      <w:jc w:val="both"/>
    </w:pPr>
    <w:rPr>
      <w:rFonts w:ascii="宋体" w:hAnsi="Times New Roman" w:eastAsia="宋体" w:cs="Times New Roman"/>
      <w:kern w:val="0"/>
      <w:sz w:val="18"/>
      <w:szCs w:val="20"/>
      <w:lang w:val="en-US" w:eastAsia="zh-CN" w:bidi="ar-SA"/>
    </w:rPr>
  </w:style>
  <w:style w:type="paragraph" w:customStyle="1" w:styleId="105">
    <w:name w:val="附录表标号"/>
    <w:basedOn w:val="1"/>
    <w:next w:val="41"/>
    <w:uiPriority w:val="0"/>
    <w:pPr>
      <w:numPr>
        <w:ilvl w:val="0"/>
        <w:numId w:val="9"/>
      </w:numPr>
      <w:tabs>
        <w:tab w:val="clear" w:pos="0"/>
      </w:tabs>
      <w:spacing w:line="14" w:lineRule="exact"/>
      <w:ind w:left="811" w:hanging="448"/>
      <w:jc w:val="center"/>
      <w:outlineLvl w:val="0"/>
    </w:pPr>
    <w:rPr>
      <w:color w:val="FFFFFF"/>
    </w:rPr>
  </w:style>
  <w:style w:type="paragraph" w:customStyle="1" w:styleId="106">
    <w:name w:val="参考文献"/>
    <w:basedOn w:val="1"/>
    <w:next w:val="41"/>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7">
    <w:name w:val="五级无"/>
    <w:basedOn w:val="108"/>
    <w:qFormat/>
    <w:uiPriority w:val="0"/>
    <w:pPr>
      <w:spacing w:before="0" w:beforeLines="0" w:after="0" w:afterLines="0"/>
    </w:pPr>
    <w:rPr>
      <w:rFonts w:ascii="宋体" w:eastAsia="宋体"/>
    </w:rPr>
  </w:style>
  <w:style w:type="paragraph" w:customStyle="1" w:styleId="108">
    <w:name w:val="五级条标题"/>
    <w:basedOn w:val="85"/>
    <w:next w:val="41"/>
    <w:qFormat/>
    <w:uiPriority w:val="0"/>
    <w:pPr>
      <w:numPr>
        <w:ilvl w:val="0"/>
        <w:numId w:val="0"/>
      </w:numPr>
      <w:outlineLvl w:val="6"/>
    </w:pPr>
  </w:style>
  <w:style w:type="paragraph" w:customStyle="1" w:styleId="109">
    <w:name w:val="标准书眉_偶数页"/>
    <w:basedOn w:val="87"/>
    <w:next w:val="1"/>
    <w:qFormat/>
    <w:uiPriority w:val="0"/>
    <w:pPr>
      <w:jc w:val="left"/>
    </w:pPr>
  </w:style>
  <w:style w:type="paragraph" w:customStyle="1" w:styleId="110">
    <w:name w:val="编号列项（三级）"/>
    <w:qFormat/>
    <w:uiPriority w:val="0"/>
    <w:rPr>
      <w:rFonts w:ascii="宋体" w:hAnsi="Times New Roman" w:eastAsia="宋体" w:cs="Times New Roman"/>
      <w:kern w:val="0"/>
      <w:sz w:val="21"/>
      <w:szCs w:val="20"/>
      <w:lang w:val="en-US" w:eastAsia="zh-CN" w:bidi="ar-SA"/>
    </w:rPr>
  </w:style>
  <w:style w:type="paragraph" w:customStyle="1" w:styleId="111">
    <w:name w:val="三级无"/>
    <w:basedOn w:val="48"/>
    <w:qFormat/>
    <w:uiPriority w:val="0"/>
    <w:pPr>
      <w:spacing w:before="0" w:beforeLines="0" w:after="0" w:afterLines="0"/>
    </w:pPr>
    <w:rPr>
      <w:rFonts w:ascii="宋体" w:eastAsia="宋体"/>
    </w:rPr>
  </w:style>
  <w:style w:type="paragraph" w:customStyle="1" w:styleId="112">
    <w:name w:val="四级无"/>
    <w:basedOn w:val="85"/>
    <w:qFormat/>
    <w:uiPriority w:val="0"/>
    <w:pPr>
      <w:spacing w:before="0" w:beforeLines="0" w:after="0" w:afterLines="0"/>
    </w:pPr>
    <w:rPr>
      <w:rFonts w:ascii="宋体" w:eastAsia="宋体"/>
    </w:rPr>
  </w:style>
  <w:style w:type="paragraph" w:customStyle="1" w:styleId="113">
    <w:name w:val="附录字母编号列项（一级）"/>
    <w:qFormat/>
    <w:uiPriority w:val="0"/>
    <w:pPr>
      <w:numPr>
        <w:ilvl w:val="0"/>
        <w:numId w:val="14"/>
      </w:numPr>
    </w:pPr>
    <w:rPr>
      <w:rFonts w:ascii="宋体" w:hAnsi="Times New Roman" w:eastAsia="宋体" w:cs="Times New Roman"/>
      <w:kern w:val="0"/>
      <w:sz w:val="21"/>
      <w:szCs w:val="20"/>
      <w:lang w:val="en-US" w:eastAsia="zh-CN" w:bidi="ar-SA"/>
    </w:rPr>
  </w:style>
  <w:style w:type="paragraph" w:customStyle="1" w:styleId="114">
    <w:name w:val="其他发布部门"/>
    <w:basedOn w:val="115"/>
    <w:qFormat/>
    <w:uiPriority w:val="0"/>
    <w:pPr>
      <w:framePr w:wrap="around" w:y="15310"/>
      <w:spacing w:line="0" w:lineRule="atLeast"/>
    </w:pPr>
    <w:rPr>
      <w:rFonts w:ascii="黑体" w:eastAsia="黑体"/>
      <w:b w:val="0"/>
    </w:rPr>
  </w:style>
  <w:style w:type="paragraph" w:customStyle="1" w:styleId="115">
    <w:name w:val="发布部门"/>
    <w:next w:val="41"/>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kern w:val="0"/>
      <w:sz w:val="28"/>
      <w:szCs w:val="20"/>
      <w:lang w:val="en-US" w:eastAsia="zh-CN" w:bidi="ar-SA"/>
    </w:rPr>
  </w:style>
  <w:style w:type="paragraph" w:customStyle="1" w:styleId="116">
    <w:name w:val="附录五级条标题"/>
    <w:basedOn w:val="117"/>
    <w:next w:val="41"/>
    <w:uiPriority w:val="0"/>
    <w:pPr>
      <w:numPr>
        <w:ilvl w:val="6"/>
      </w:numPr>
      <w:tabs>
        <w:tab w:val="left" w:pos="360"/>
      </w:tabs>
      <w:outlineLvl w:val="6"/>
    </w:pPr>
  </w:style>
  <w:style w:type="paragraph" w:customStyle="1" w:styleId="117">
    <w:name w:val="附录四级条标题"/>
    <w:basedOn w:val="55"/>
    <w:next w:val="41"/>
    <w:qFormat/>
    <w:uiPriority w:val="0"/>
    <w:pPr>
      <w:numPr>
        <w:ilvl w:val="5"/>
      </w:numPr>
      <w:outlineLvl w:val="5"/>
    </w:pPr>
  </w:style>
  <w:style w:type="paragraph" w:customStyle="1" w:styleId="118">
    <w:name w:val="条文脚注"/>
    <w:basedOn w:val="21"/>
    <w:qFormat/>
    <w:uiPriority w:val="0"/>
    <w:pPr>
      <w:numPr>
        <w:numId w:val="0"/>
      </w:numPr>
      <w:jc w:val="both"/>
    </w:pPr>
  </w:style>
  <w:style w:type="paragraph" w:customStyle="1" w:styleId="119">
    <w:name w:val="示例"/>
    <w:next w:val="89"/>
    <w:uiPriority w:val="0"/>
    <w:pPr>
      <w:widowControl w:val="0"/>
      <w:numPr>
        <w:ilvl w:val="0"/>
        <w:numId w:val="15"/>
      </w:numPr>
      <w:jc w:val="both"/>
    </w:pPr>
    <w:rPr>
      <w:rFonts w:ascii="宋体" w:hAnsi="Times New Roman" w:eastAsia="宋体" w:cs="Times New Roman"/>
      <w:kern w:val="0"/>
      <w:sz w:val="18"/>
      <w:szCs w:val="18"/>
      <w:lang w:val="en-US" w:eastAsia="zh-CN" w:bidi="ar-SA"/>
    </w:rPr>
  </w:style>
  <w:style w:type="paragraph" w:customStyle="1" w:styleId="120">
    <w:name w:val="正文表标题"/>
    <w:next w:val="41"/>
    <w:uiPriority w:val="0"/>
    <w:pPr>
      <w:numPr>
        <w:ilvl w:val="0"/>
        <w:numId w:val="16"/>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121">
    <w:name w:val="实施日期"/>
    <w:basedOn w:val="86"/>
    <w:qFormat/>
    <w:uiPriority w:val="0"/>
    <w:pPr>
      <w:framePr w:wrap="around" w:vAnchor="page" w:hAnchor="text"/>
      <w:jc w:val="right"/>
    </w:pPr>
  </w:style>
  <w:style w:type="paragraph" w:customStyle="1" w:styleId="122">
    <w:name w:val="一级无"/>
    <w:basedOn w:val="50"/>
    <w:qFormat/>
    <w:uiPriority w:val="0"/>
    <w:pPr>
      <w:spacing w:before="0" w:beforeLines="0" w:after="0" w:afterLines="0"/>
    </w:pPr>
    <w:rPr>
      <w:rFonts w:ascii="宋体" w:eastAsia="宋体"/>
    </w:rPr>
  </w:style>
  <w:style w:type="paragraph" w:customStyle="1" w:styleId="123">
    <w:name w:val="附录公式编号制表符"/>
    <w:basedOn w:val="1"/>
    <w:next w:val="41"/>
    <w:qFormat/>
    <w:uiPriority w:val="0"/>
    <w:pPr>
      <w:widowControl/>
      <w:tabs>
        <w:tab w:val="center" w:pos="4201"/>
        <w:tab w:val="right" w:leader="dot" w:pos="9298"/>
      </w:tabs>
      <w:autoSpaceDE w:val="0"/>
      <w:autoSpaceDN w:val="0"/>
    </w:pPr>
    <w:rPr>
      <w:rFonts w:ascii="宋体"/>
      <w:kern w:val="0"/>
      <w:szCs w:val="20"/>
    </w:rPr>
  </w:style>
  <w:style w:type="paragraph" w:customStyle="1" w:styleId="124">
    <w:name w:val="终结线"/>
    <w:basedOn w:val="1"/>
    <w:qFormat/>
    <w:uiPriority w:val="0"/>
    <w:pPr>
      <w:framePr w:hSpace="181" w:vSpace="181" w:wrap="around" w:vAnchor="text" w:hAnchor="margin" w:xAlign="center" w:y="285"/>
    </w:pPr>
  </w:style>
  <w:style w:type="paragraph" w:customStyle="1" w:styleId="125">
    <w:name w:val="附录四级无"/>
    <w:basedOn w:val="117"/>
    <w:uiPriority w:val="0"/>
    <w:pPr>
      <w:tabs>
        <w:tab w:val="clear" w:pos="360"/>
      </w:tabs>
      <w:spacing w:before="0" w:beforeLines="0" w:after="0" w:afterLines="0"/>
    </w:pPr>
    <w:rPr>
      <w:rFonts w:ascii="宋体" w:eastAsia="宋体"/>
      <w:szCs w:val="21"/>
    </w:rPr>
  </w:style>
  <w:style w:type="paragraph" w:customStyle="1" w:styleId="126">
    <w:name w:val="其他发布日期"/>
    <w:basedOn w:val="86"/>
    <w:qFormat/>
    <w:uiPriority w:val="0"/>
    <w:pPr>
      <w:framePr w:wrap="around" w:vAnchor="page" w:hAnchor="text" w:x="1419"/>
    </w:pPr>
  </w:style>
  <w:style w:type="paragraph" w:customStyle="1" w:styleId="127">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128">
    <w:name w:val="其他实施日期"/>
    <w:basedOn w:val="121"/>
    <w:qFormat/>
    <w:uiPriority w:val="0"/>
    <w:pPr>
      <w:framePr w:wrap="around"/>
    </w:pPr>
  </w:style>
  <w:style w:type="paragraph" w:customStyle="1" w:styleId="129">
    <w:name w:val="正文图标题"/>
    <w:next w:val="41"/>
    <w:qFormat/>
    <w:uiPriority w:val="0"/>
    <w:pPr>
      <w:numPr>
        <w:ilvl w:val="0"/>
        <w:numId w:val="17"/>
      </w:numPr>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130">
    <w:name w:val="注×：（正文）"/>
    <w:qFormat/>
    <w:uiPriority w:val="0"/>
    <w:pPr>
      <w:numPr>
        <w:ilvl w:val="0"/>
        <w:numId w:val="18"/>
      </w:numPr>
      <w:jc w:val="both"/>
    </w:pPr>
    <w:rPr>
      <w:rFonts w:ascii="宋体" w:hAnsi="Times New Roman" w:eastAsia="宋体" w:cs="Times New Roman"/>
      <w:kern w:val="0"/>
      <w:sz w:val="18"/>
      <w:szCs w:val="18"/>
      <w:lang w:val="en-US" w:eastAsia="zh-CN" w:bidi="ar-SA"/>
    </w:rPr>
  </w:style>
  <w:style w:type="paragraph" w:customStyle="1" w:styleId="131">
    <w:name w:val="列项说明数字编号"/>
    <w:qFormat/>
    <w:uiPriority w:val="0"/>
    <w:pPr>
      <w:ind w:left="600" w:leftChars="400" w:hanging="200" w:hangingChars="200"/>
    </w:pPr>
    <w:rPr>
      <w:rFonts w:ascii="宋体" w:hAnsi="Times New Roman" w:eastAsia="宋体" w:cs="Times New Roman"/>
      <w:kern w:val="0"/>
      <w:sz w:val="21"/>
      <w:szCs w:val="20"/>
      <w:lang w:val="en-US" w:eastAsia="zh-CN" w:bidi="ar-SA"/>
    </w:rPr>
  </w:style>
  <w:style w:type="paragraph" w:customStyle="1" w:styleId="132">
    <w:name w:val="封面一致性程度标识2"/>
    <w:basedOn w:val="59"/>
    <w:qFormat/>
    <w:uiPriority w:val="0"/>
    <w:pPr>
      <w:framePr w:wrap="around" w:y="4469"/>
    </w:pPr>
  </w:style>
  <w:style w:type="paragraph" w:customStyle="1" w:styleId="133">
    <w:name w:val="示例后文字"/>
    <w:basedOn w:val="41"/>
    <w:next w:val="41"/>
    <w:qFormat/>
    <w:uiPriority w:val="0"/>
    <w:pPr>
      <w:ind w:firstLine="360"/>
    </w:pPr>
    <w:rPr>
      <w:sz w:val="18"/>
    </w:rPr>
  </w:style>
  <w:style w:type="paragraph" w:customStyle="1" w:styleId="134">
    <w:name w:val="封面标准文稿编辑信息2"/>
    <w:basedOn w:val="62"/>
    <w:qFormat/>
    <w:uiPriority w:val="0"/>
    <w:pPr>
      <w:framePr w:wrap="around" w:y="4469"/>
    </w:pPr>
  </w:style>
  <w:style w:type="paragraph" w:customStyle="1" w:styleId="135">
    <w:name w:val="标准书脚_奇数页"/>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136">
    <w:name w:val="附录数字编号列项（二级）"/>
    <w:qFormat/>
    <w:uiPriority w:val="0"/>
    <w:pPr>
      <w:numPr>
        <w:ilvl w:val="1"/>
        <w:numId w:val="14"/>
      </w:numPr>
    </w:pPr>
    <w:rPr>
      <w:rFonts w:ascii="宋体" w:hAnsi="Times New Roman" w:eastAsia="宋体" w:cs="Times New Roman"/>
      <w:kern w:val="0"/>
      <w:sz w:val="21"/>
      <w:szCs w:val="20"/>
      <w:lang w:val="en-US" w:eastAsia="zh-CN" w:bidi="ar-SA"/>
    </w:rPr>
  </w:style>
  <w:style w:type="paragraph" w:customStyle="1" w:styleId="137">
    <w:name w:val="附录图标号"/>
    <w:basedOn w:val="1"/>
    <w:qFormat/>
    <w:uiPriority w:val="0"/>
    <w:pPr>
      <w:keepNext/>
      <w:pageBreakBefore/>
      <w:widowControl/>
      <w:numPr>
        <w:ilvl w:val="0"/>
        <w:numId w:val="11"/>
      </w:numPr>
      <w:spacing w:line="14" w:lineRule="exact"/>
      <w:ind w:left="0" w:firstLine="363"/>
      <w:jc w:val="center"/>
      <w:outlineLvl w:val="0"/>
    </w:pPr>
    <w:rPr>
      <w:color w:val="FFFFFF"/>
    </w:rPr>
  </w:style>
  <w:style w:type="paragraph" w:customStyle="1" w:styleId="138">
    <w:name w:val="封面标准代替信息"/>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139">
    <w:name w:val="附录五级无"/>
    <w:basedOn w:val="116"/>
    <w:qFormat/>
    <w:uiPriority w:val="0"/>
    <w:pPr>
      <w:tabs>
        <w:tab w:val="clear" w:pos="360"/>
      </w:tabs>
      <w:spacing w:before="0" w:beforeLines="0" w:after="0" w:afterLines="0"/>
    </w:pPr>
    <w:rPr>
      <w:rFonts w:ascii="宋体" w:eastAsia="宋体"/>
      <w:szCs w:val="21"/>
    </w:rPr>
  </w:style>
  <w:style w:type="paragraph" w:customStyle="1" w:styleId="140">
    <w:name w:val="封面标准名称2"/>
    <w:basedOn w:val="61"/>
    <w:qFormat/>
    <w:uiPriority w:val="0"/>
    <w:pPr>
      <w:framePr w:wrap="around" w:y="4469"/>
      <w:spacing w:before="630" w:beforeLines="630"/>
    </w:pPr>
  </w:style>
  <w:style w:type="paragraph" w:customStyle="1" w:styleId="141">
    <w:name w:val="p0"/>
    <w:basedOn w:val="1"/>
    <w:qFormat/>
    <w:uiPriority w:val="0"/>
    <w:pPr>
      <w:widowControl/>
    </w:pPr>
    <w:rPr>
      <w:kern w:val="0"/>
      <w:szCs w:val="21"/>
    </w:rPr>
  </w:style>
  <w:style w:type="paragraph" w:customStyle="1" w:styleId="142">
    <w:name w:val="p15"/>
    <w:basedOn w:val="1"/>
    <w:qFormat/>
    <w:uiPriority w:val="0"/>
    <w:pPr>
      <w:widowControl/>
      <w:ind w:firstLine="420"/>
    </w:pPr>
    <w:rPr>
      <w:rFonts w:ascii="宋体" w:hAnsi="宋体" w:cs="宋体"/>
      <w:kern w:val="0"/>
      <w:szCs w:val="21"/>
    </w:rPr>
  </w:style>
  <w:style w:type="paragraph" w:customStyle="1" w:styleId="143">
    <w:name w:val="列出段落1"/>
    <w:basedOn w:val="1"/>
    <w:qFormat/>
    <w:uiPriority w:val="34"/>
    <w:pPr>
      <w:ind w:firstLine="420" w:firstLineChars="200"/>
    </w:pPr>
    <w:rPr>
      <w:rFonts w:ascii="Calibri" w:hAnsi="Calibri"/>
      <w:szCs w:val="22"/>
    </w:rPr>
  </w:style>
  <w:style w:type="table" w:customStyle="1" w:styleId="144">
    <w:name w:val="网格型1"/>
    <w:basedOn w:val="29"/>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5">
    <w:name w:val="List Paragraph"/>
    <w:basedOn w:val="1"/>
    <w:qFormat/>
    <w:uiPriority w:val="99"/>
    <w:pPr>
      <w:ind w:firstLine="420" w:firstLineChars="200"/>
    </w:pPr>
  </w:style>
  <w:style w:type="character" w:customStyle="1" w:styleId="146">
    <w:name w:val="标题 字符"/>
    <w:basedOn w:val="31"/>
    <w:link w:val="28"/>
    <w:qFormat/>
    <w:uiPriority w:val="0"/>
    <w:rPr>
      <w:rFonts w:ascii="等线 Light" w:hAnsi="等线 Light" w:eastAsia="宋体" w:cs="Times New Roman"/>
      <w:b/>
      <w:bCs/>
      <w:sz w:val="32"/>
      <w:szCs w:val="32"/>
    </w:rPr>
  </w:style>
  <w:style w:type="character" w:customStyle="1" w:styleId="147">
    <w:name w:val="段 Char Char"/>
    <w:qFormat/>
    <w:uiPriority w:val="0"/>
    <w:rPr>
      <w:rFonts w:ascii="宋体"/>
      <w:sz w:val="21"/>
    </w:rPr>
  </w:style>
  <w:style w:type="character" w:styleId="148">
    <w:name w:val="Placeholder Text"/>
    <w:basedOn w:val="31"/>
    <w:unhideWhenUsed/>
    <w:qFormat/>
    <w:uiPriority w:val="99"/>
    <w:rPr>
      <w:color w:val="808080"/>
    </w:rPr>
  </w:style>
  <w:style w:type="character" w:customStyle="1" w:styleId="149">
    <w:name w:val="批注框文本 字符"/>
    <w:basedOn w:val="31"/>
    <w:link w:val="14"/>
    <w:semiHidden/>
    <w:qFormat/>
    <w:uiPriority w:val="99"/>
    <w:rPr>
      <w:rFonts w:ascii="Times New Roman" w:hAnsi="Times New Roman" w:eastAsia="宋体" w:cs="Times New Roman"/>
      <w:sz w:val="18"/>
      <w:szCs w:val="18"/>
    </w:rPr>
  </w:style>
  <w:style w:type="paragraph" w:customStyle="1" w:styleId="150">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5BBA08-751E-4D3B-9964-F390FFF10FE0}">
  <ds:schemaRefs/>
</ds:datastoreItem>
</file>

<file path=docProps/app.xml><?xml version="1.0" encoding="utf-8"?>
<Properties xmlns="http://schemas.openxmlformats.org/officeDocument/2006/extended-properties" xmlns:vt="http://schemas.openxmlformats.org/officeDocument/2006/docPropsVTypes">
  <Template>Normal</Template>
  <Pages>21</Pages>
  <Words>1101</Words>
  <Characters>6277</Characters>
  <Lines>52</Lines>
  <Paragraphs>14</Paragraphs>
  <TotalTime>3</TotalTime>
  <ScaleCrop>false</ScaleCrop>
  <LinksUpToDate>false</LinksUpToDate>
  <CharactersWithSpaces>7364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2022-01-19T00:58:00Z</dcterms:created>
  <dc:creator>Yang Fang-Wei</dc:creator>
  <cp:lastModifiedBy>潇楠</cp:lastModifiedBy>
  <dcterms:modified xsi:type="dcterms:W3CDTF">2022-01-24T08:35:34Z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FD989C2FC47D4A4FA671FF669A83E5E2</vt:lpwstr>
  </property>
</Properties>
</file>