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framePr w:hSpace="0" w:vSpace="0" w:wrap="auto" w:vAnchor="margin" w:hAnchor="text" w:yAlign="inline"/>
        <w:ind w:right="-506" w:rightChars="-241"/>
        <w:outlineLvl w:val="0"/>
      </w:pPr>
      <w:bookmarkStart w:id="0" w:name="_Toc434508409"/>
      <w:bookmarkStart w:id="1" w:name="_Toc432690032"/>
      <w:bookmarkStart w:id="2" w:name="_Toc434853433"/>
      <w:bookmarkStart w:id="3" w:name="OLE_LINK5"/>
      <w:bookmarkStart w:id="4" w:name="OLE_LINK4"/>
      <w:bookmarkStart w:id="5" w:name="pindex1"/>
      <w:bookmarkStart w:id="6" w:name="OLE_LINK9"/>
      <w:bookmarkStart w:id="7" w:name="_Toc1379005"/>
      <w:r>
        <w:t>ICS</w:t>
      </w:r>
      <w:r>
        <w:rPr>
          <w:rFonts w:hint="eastAsia"/>
        </w:rPr>
        <w:t xml:space="preserve">  </w:t>
      </w:r>
      <w:bookmarkEnd w:id="0"/>
      <w:bookmarkEnd w:id="1"/>
      <w:bookmarkEnd w:id="2"/>
    </w:p>
    <w:p>
      <w:pPr>
        <w:pStyle w:val="31"/>
        <w:framePr w:hSpace="0" w:vSpace="0" w:wrap="auto" w:vAnchor="margin" w:hAnchor="text" w:yAlign="inline"/>
        <w:tabs>
          <w:tab w:val="left" w:pos="9360"/>
        </w:tabs>
        <w:ind w:left="-420" w:leftChars="-200" w:firstLine="420" w:firstLineChars="200"/>
        <w:outlineLvl w:val="0"/>
      </w:pPr>
      <w:r>
        <w:rPr>
          <w:rFonts w:hint="eastAsia"/>
        </w:rPr>
        <w:t>中国标准文献分类号</w:t>
      </w:r>
    </w:p>
    <w:p>
      <w:pPr>
        <w:ind w:firstLine="0" w:firstLineChars="0"/>
        <w:rPr>
          <w:rFonts w:ascii="宋体" w:hAnsi="宋体"/>
          <w:sz w:val="32"/>
          <w:szCs w:val="20"/>
        </w:rPr>
      </w:pPr>
    </w:p>
    <w:p>
      <w:pPr>
        <w:ind w:firstLine="242" w:firstLineChars="23"/>
        <w:jc w:val="center"/>
        <w:rPr>
          <w:rFonts w:ascii="黑体" w:hAnsi="黑体" w:eastAsia="黑体"/>
          <w:b/>
          <w:bCs/>
          <w:snapToGrid w:val="0"/>
          <w:spacing w:val="164"/>
          <w:kern w:val="0"/>
          <w:sz w:val="72"/>
          <w:szCs w:val="72"/>
        </w:rPr>
      </w:pPr>
      <w:r>
        <w:rPr>
          <w:rFonts w:hint="eastAsia" w:ascii="黑体" w:hAnsi="黑体" w:eastAsia="黑体"/>
          <w:b/>
          <w:bCs/>
          <w:snapToGrid w:val="0"/>
          <w:spacing w:val="164"/>
          <w:kern w:val="0"/>
          <w:sz w:val="72"/>
          <w:szCs w:val="72"/>
        </w:rPr>
        <w:t>团 体 标 准</w:t>
      </w:r>
    </w:p>
    <w:p>
      <w:pPr>
        <w:wordWrap w:val="0"/>
        <w:ind w:firstLine="3080" w:firstLineChars="1100"/>
        <w:jc w:val="right"/>
        <w:rPr>
          <w:rFonts w:eastAsia="黑体"/>
          <w:sz w:val="28"/>
          <w:szCs w:val="28"/>
        </w:rPr>
      </w:pPr>
      <w:r>
        <w:rPr>
          <w:rFonts w:eastAsia="黑体"/>
          <w:sz w:val="28"/>
          <w:szCs w:val="28"/>
        </w:rPr>
        <w:t>T/CCOA</w:t>
      </w:r>
      <w:r>
        <w:rPr>
          <w:rFonts w:hint="eastAsia" w:eastAsia="黑体"/>
          <w:sz w:val="28"/>
          <w:szCs w:val="28"/>
        </w:rPr>
        <w:t xml:space="preserve"> </w:t>
      </w:r>
      <w:r>
        <w:rPr>
          <w:rFonts w:eastAsia="黑体"/>
          <w:sz w:val="28"/>
          <w:szCs w:val="28"/>
        </w:rPr>
        <w:t>×××—××××</w:t>
      </w:r>
    </w:p>
    <w:p>
      <w:pPr>
        <w:ind w:firstLine="46" w:firstLineChars="23"/>
        <w:jc w:val="right"/>
        <w:rPr>
          <w:rFonts w:eastAsia="黑体"/>
          <w:b/>
          <w:bCs/>
          <w:spacing w:val="164"/>
          <w:sz w:val="28"/>
          <w:szCs w:val="28"/>
        </w:rPr>
      </w:pPr>
      <w:r>
        <w:rPr>
          <w:rFonts w:ascii="宋体" w:hAnsi="宋体"/>
          <w:b/>
          <w:bCs/>
          <w:sz w:val="20"/>
          <w:szCs w:val="20"/>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350520</wp:posOffset>
                </wp:positionV>
                <wp:extent cx="5819775" cy="0"/>
                <wp:effectExtent l="0" t="0" r="0" b="0"/>
                <wp:wrapNone/>
                <wp:docPr id="4" name="Line 3"/>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5pt;margin-top:27.6pt;height:0pt;width:458.25pt;z-index:251660288;mso-width-relative:page;mso-height-relative:page;" filled="f" stroked="t" coordsize="21600,21600" o:gfxdata="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n+W4bXAAAACQEAAA8AAAAAAAAAAQAgAAAAIgAAAGRycy9k&#10;b3ducmV2LnhtbFBLAQIUABQAAAAIAIdO4kC/UUGaygEAAJ8DAAAOAAAAAAAAAAEAIAAAACYBAABk&#10;cnMvZTJvRG9jLnhtbFBLBQYAAAAABgAGAFkBAABiBQAAAAA=&#10;">
                <v:fill on="f" focussize="0,0"/>
                <v:stroke color="#000000" joinstyle="round"/>
                <v:imagedata o:title=""/>
                <o:lock v:ext="edit" aspectratio="f"/>
              </v:line>
            </w:pict>
          </mc:Fallback>
        </mc:AlternateContent>
      </w:r>
    </w:p>
    <w:p>
      <w:pPr>
        <w:pStyle w:val="20"/>
        <w:jc w:val="both"/>
        <w:rPr>
          <w:rFonts w:hint="eastAsia" w:eastAsia="黑体" w:asciiTheme="minorHAnsi" w:hAnsiTheme="minorHAnsi" w:cstheme="minorBidi"/>
          <w:bCs/>
          <w:kern w:val="2"/>
          <w:sz w:val="56"/>
          <w:szCs w:val="84"/>
        </w:rPr>
      </w:pPr>
    </w:p>
    <w:p>
      <w:pPr>
        <w:pStyle w:val="20"/>
        <w:ind w:firstLine="1680" w:firstLineChars="300"/>
        <w:jc w:val="both"/>
        <w:rPr>
          <w:rFonts w:eastAsia="黑体" w:asciiTheme="minorHAnsi" w:hAnsiTheme="minorHAnsi" w:cstheme="minorBidi"/>
          <w:bCs/>
          <w:kern w:val="2"/>
          <w:sz w:val="56"/>
          <w:szCs w:val="84"/>
        </w:rPr>
      </w:pPr>
      <w:r>
        <w:rPr>
          <w:rFonts w:hint="eastAsia" w:eastAsia="黑体" w:asciiTheme="minorHAnsi" w:hAnsiTheme="minorHAnsi" w:cstheme="minorBidi"/>
          <w:bCs/>
          <w:kern w:val="2"/>
          <w:sz w:val="56"/>
          <w:szCs w:val="84"/>
        </w:rPr>
        <w:t>低菌小麦粉生产技术规程</w:t>
      </w:r>
    </w:p>
    <w:p>
      <w:pPr>
        <w:pStyle w:val="20"/>
        <w:jc w:val="center"/>
        <w:rPr>
          <w:rFonts w:ascii="宋体" w:hAnsi="宋体"/>
          <w:sz w:val="52"/>
          <w:szCs w:val="20"/>
        </w:rPr>
      </w:pPr>
      <w:r>
        <w:rPr>
          <w:rFonts w:eastAsia="黑体"/>
          <w:sz w:val="32"/>
          <w:szCs w:val="32"/>
        </w:rPr>
        <w:t xml:space="preserve">Technical specifications for cleaner production of wheat flour </w:t>
      </w:r>
      <w:r>
        <w:rPr>
          <w:rFonts w:hint="eastAsia" w:eastAsia="黑体"/>
          <w:sz w:val="32"/>
          <w:szCs w:val="32"/>
        </w:rPr>
        <w:t>with</w:t>
      </w:r>
      <w:r>
        <w:rPr>
          <w:rFonts w:eastAsia="黑体"/>
          <w:sz w:val="32"/>
          <w:szCs w:val="32"/>
        </w:rPr>
        <w:t xml:space="preserve"> lower microbial load</w:t>
      </w:r>
    </w:p>
    <w:p>
      <w:pPr>
        <w:pStyle w:val="30"/>
        <w:framePr w:h="721" w:hRule="exact" w:wrap="around" w:x="1933" w:y="14794"/>
        <w:rPr>
          <w:rFonts w:ascii="Times New Roman"/>
          <w:spacing w:val="0"/>
          <w:w w:val="100"/>
          <w:sz w:val="36"/>
          <w:szCs w:val="32"/>
        </w:rPr>
      </w:pPr>
    </w:p>
    <w:p>
      <w:pPr>
        <w:pStyle w:val="20"/>
        <w:jc w:val="center"/>
        <w:rPr>
          <w:rFonts w:hint="eastAsia" w:ascii="黑体" w:hAnsi="黑体" w:eastAsia="黑体" w:cs="黑体"/>
          <w:sz w:val="36"/>
          <w:szCs w:val="36"/>
        </w:rPr>
      </w:pPr>
      <w:r>
        <w:rPr>
          <w:rFonts w:hint="eastAsia" w:ascii="黑体" w:hAnsi="黑体" w:eastAsia="黑体" w:cs="黑体"/>
          <w:sz w:val="36"/>
          <w:szCs w:val="36"/>
        </w:rPr>
        <w:t>（征求意见稿）</w:t>
      </w:r>
      <w:bookmarkStart w:id="46" w:name="_GoBack"/>
      <w:bookmarkEnd w:id="46"/>
    </w:p>
    <w:p>
      <w:pPr>
        <w:spacing w:line="1000" w:lineRule="exact"/>
        <w:ind w:left="0" w:leftChars="0" w:firstLine="0" w:firstLineChars="0"/>
        <w:jc w:val="both"/>
        <w:rPr>
          <w:snapToGrid w:val="0"/>
          <w:kern w:val="0"/>
          <w:sz w:val="52"/>
        </w:rPr>
      </w:pPr>
    </w:p>
    <w:p>
      <w:pPr>
        <w:spacing w:line="800" w:lineRule="exact"/>
        <w:ind w:firstLine="1040"/>
        <w:rPr>
          <w:sz w:val="52"/>
        </w:rPr>
      </w:pPr>
    </w:p>
    <w:p>
      <w:pPr>
        <w:spacing w:line="400" w:lineRule="exact"/>
        <w:ind w:firstLine="1040"/>
        <w:rPr>
          <w:sz w:val="52"/>
        </w:rPr>
      </w:pPr>
    </w:p>
    <w:p>
      <w:pPr>
        <w:spacing w:line="400" w:lineRule="exact"/>
        <w:ind w:firstLine="1040"/>
        <w:rPr>
          <w:sz w:val="52"/>
        </w:rPr>
      </w:pPr>
    </w:p>
    <w:p>
      <w:pPr>
        <w:spacing w:line="400" w:lineRule="exact"/>
        <w:ind w:firstLine="0" w:firstLineChars="0"/>
      </w:pPr>
    </w:p>
    <w:p>
      <w:pPr>
        <w:spacing w:line="400" w:lineRule="exact"/>
        <w:ind w:firstLine="420"/>
      </w:pPr>
    </w:p>
    <w:p>
      <w:pPr>
        <w:spacing w:line="280" w:lineRule="exact"/>
        <w:ind w:firstLine="0" w:firstLineChars="0"/>
        <w:rPr>
          <w:rFonts w:ascii="黑体" w:eastAsia="黑体"/>
          <w:b/>
          <w:bCs/>
          <w:sz w:val="28"/>
          <w:szCs w:val="20"/>
        </w:rPr>
      </w:pPr>
      <w:r>
        <w:rPr>
          <w:rFonts w:hint="eastAsia" w:ascii="黑体" w:eastAsia="黑体"/>
          <w:b/>
          <w:bCs/>
          <w:sz w:val="28"/>
          <w:szCs w:val="20"/>
        </w:rPr>
        <w:t>20XX</w:t>
      </w:r>
      <w:r>
        <w:rPr>
          <w:rFonts w:hint="eastAsia" w:ascii="黑体" w:hAnsi="宋体" w:eastAsia="黑体"/>
          <w:b/>
          <w:bCs/>
          <w:sz w:val="28"/>
          <w:szCs w:val="20"/>
        </w:rPr>
        <w:t>-</w:t>
      </w:r>
      <w:r>
        <w:rPr>
          <w:rFonts w:hint="eastAsia" w:ascii="黑体" w:eastAsia="黑体"/>
          <w:b/>
          <w:bCs/>
          <w:sz w:val="28"/>
          <w:szCs w:val="20"/>
        </w:rPr>
        <w:t>XX</w:t>
      </w:r>
      <w:r>
        <w:rPr>
          <w:rFonts w:hint="eastAsia" w:ascii="黑体" w:hAnsi="宋体" w:eastAsia="黑体"/>
          <w:b/>
          <w:bCs/>
          <w:sz w:val="28"/>
          <w:szCs w:val="28"/>
        </w:rPr>
        <w:t>-</w:t>
      </w:r>
      <w:r>
        <w:rPr>
          <w:rFonts w:hint="eastAsia" w:ascii="黑体" w:eastAsia="黑体"/>
          <w:b/>
          <w:bCs/>
          <w:sz w:val="28"/>
          <w:szCs w:val="20"/>
        </w:rPr>
        <w:t>XX</w:t>
      </w:r>
      <w:r>
        <w:rPr>
          <w:rFonts w:hint="eastAsia" w:ascii="黑体" w:hAnsi="宋体" w:eastAsia="黑体"/>
          <w:b/>
          <w:bCs/>
          <w:sz w:val="18"/>
          <w:szCs w:val="20"/>
        </w:rPr>
        <w:t xml:space="preserve"> </w:t>
      </w:r>
      <w:r>
        <w:rPr>
          <w:rFonts w:hint="eastAsia" w:ascii="黑体" w:hAnsi="宋体" w:eastAsia="黑体"/>
          <w:b/>
          <w:bCs/>
          <w:sz w:val="28"/>
          <w:szCs w:val="20"/>
        </w:rPr>
        <w:t xml:space="preserve">发布                              </w:t>
      </w:r>
      <w:r>
        <w:rPr>
          <w:rFonts w:hint="eastAsia" w:ascii="黑体" w:eastAsia="黑体"/>
          <w:b/>
          <w:bCs/>
          <w:sz w:val="28"/>
          <w:szCs w:val="20"/>
        </w:rPr>
        <w:t>20XX</w:t>
      </w:r>
      <w:r>
        <w:rPr>
          <w:rFonts w:hint="eastAsia" w:ascii="黑体" w:hAnsi="宋体" w:eastAsia="黑体"/>
          <w:b/>
          <w:bCs/>
          <w:sz w:val="28"/>
          <w:szCs w:val="20"/>
        </w:rPr>
        <w:t>-</w:t>
      </w:r>
      <w:r>
        <w:rPr>
          <w:rFonts w:hint="eastAsia" w:ascii="黑体" w:eastAsia="黑体"/>
          <w:b/>
          <w:bCs/>
          <w:sz w:val="28"/>
          <w:szCs w:val="20"/>
        </w:rPr>
        <w:t>XX</w:t>
      </w:r>
      <w:r>
        <w:rPr>
          <w:rFonts w:hint="eastAsia" w:ascii="黑体" w:hAnsi="宋体" w:eastAsia="黑体"/>
          <w:b/>
          <w:bCs/>
          <w:sz w:val="28"/>
          <w:szCs w:val="20"/>
        </w:rPr>
        <w:t>-</w:t>
      </w:r>
      <w:r>
        <w:rPr>
          <w:rFonts w:hint="eastAsia" w:ascii="黑体" w:eastAsia="黑体"/>
          <w:b/>
          <w:bCs/>
          <w:sz w:val="28"/>
          <w:szCs w:val="20"/>
        </w:rPr>
        <w:t>XX</w:t>
      </w:r>
      <w:r>
        <w:rPr>
          <w:rFonts w:hint="eastAsia" w:ascii="黑体" w:hAnsi="宋体" w:eastAsia="黑体"/>
          <w:b/>
          <w:bCs/>
          <w:sz w:val="28"/>
          <w:szCs w:val="20"/>
        </w:rPr>
        <w:t>实施</w:t>
      </w:r>
    </w:p>
    <w:p>
      <w:pPr>
        <w:spacing w:line="280" w:lineRule="exact"/>
        <w:ind w:firstLine="400"/>
        <w:rPr>
          <w:rFonts w:ascii="黑体" w:eastAsia="黑体"/>
          <w:sz w:val="28"/>
          <w:szCs w:val="20"/>
        </w:rPr>
      </w:pPr>
      <w:r>
        <w:rPr>
          <w:rFonts w:ascii="黑体" w:eastAsia="黑体"/>
          <w:sz w:val="20"/>
          <w:szCs w:val="20"/>
        </w:rPr>
        <mc:AlternateContent>
          <mc:Choice Requires="wps">
            <w:drawing>
              <wp:anchor distT="0" distB="0" distL="114300" distR="114300" simplePos="0" relativeHeight="251661312" behindDoc="0" locked="0" layoutInCell="1" allowOverlap="1">
                <wp:simplePos x="0" y="0"/>
                <wp:positionH relativeFrom="column">
                  <wp:posOffset>-314325</wp:posOffset>
                </wp:positionH>
                <wp:positionV relativeFrom="paragraph">
                  <wp:posOffset>55880</wp:posOffset>
                </wp:positionV>
                <wp:extent cx="5943600" cy="0"/>
                <wp:effectExtent l="0" t="0" r="0" b="0"/>
                <wp:wrapNone/>
                <wp:docPr id="3" name="Line 5"/>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24.75pt;margin-top:4.4pt;height:0pt;width:468pt;z-index:251661312;mso-width-relative:page;mso-height-relative:page;" filled="f" stroked="t" coordsize="21600,21600" o:gfxdata="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cgAZdQAAAAHAQAADwAAAAAAAAABACAAAAAiAAAAZHJzL2Rvd25y&#10;ZXYueG1sUEsBAhQAFAAAAAgAh07iQNEILdjJAQAAnwMAAA4AAAAAAAAAAQAgAAAAIwEAAGRycy9l&#10;Mm9Eb2MueG1sUEsFBgAAAAAGAAYAWQEAAF4FAAAAAA==&#10;">
                <v:fill on="f" focussize="0,0"/>
                <v:stroke color="#000000" joinstyle="round"/>
                <v:imagedata o:title=""/>
                <o:lock v:ext="edit" aspectratio="f"/>
              </v:line>
            </w:pict>
          </mc:Fallback>
        </mc:AlternateContent>
      </w:r>
    </w:p>
    <w:p>
      <w:pPr>
        <w:ind w:firstLine="0" w:firstLineChars="0"/>
        <w:jc w:val="center"/>
        <w:textAlignment w:val="center"/>
        <w:rPr>
          <w:rFonts w:hint="eastAsia" w:ascii="黑体" w:hAnsi="黑体" w:eastAsia="黑体" w:cs="黑体"/>
          <w:sz w:val="36"/>
          <w:szCs w:val="36"/>
        </w:rPr>
      </w:pPr>
      <w:r>
        <w:rPr>
          <w:rFonts w:hint="eastAsia" w:ascii="黑体" w:hAnsi="黑体" w:eastAsia="黑体" w:cs="黑体"/>
          <w:b/>
          <w:bCs/>
          <w:sz w:val="36"/>
          <w:szCs w:val="36"/>
        </w:rPr>
        <w:t xml:space="preserve">中国粮油学会  </w:t>
      </w:r>
      <w:r>
        <w:rPr>
          <w:rFonts w:hint="eastAsia" w:ascii="黑体" w:hAnsi="黑体" w:eastAsia="黑体" w:cs="黑体"/>
          <w:sz w:val="36"/>
          <w:szCs w:val="36"/>
        </w:rPr>
        <w:t>发布</w:t>
      </w:r>
      <w:bookmarkEnd w:id="3"/>
      <w:bookmarkEnd w:id="4"/>
    </w:p>
    <w:p>
      <w:pPr>
        <w:tabs>
          <w:tab w:val="center" w:pos="4818"/>
        </w:tabs>
        <w:rPr>
          <w:rFonts w:ascii="Times New Roman"/>
        </w:rPr>
        <w:sectPr>
          <w:headerReference r:id="rId3" w:type="default"/>
          <w:footerReference r:id="rId4" w:type="default"/>
          <w:pgSz w:w="11906" w:h="16838"/>
          <w:pgMar w:top="567" w:right="851" w:bottom="1134" w:left="1418" w:header="851" w:footer="992" w:gutter="0"/>
          <w:pgNumType w:fmt="upperRoman" w:start="1"/>
          <w:cols w:space="425" w:num="1"/>
          <w:docGrid w:type="lines" w:linePitch="312" w:charSpace="0"/>
        </w:sectPr>
      </w:pPr>
    </w:p>
    <w:bookmarkEnd w:id="5"/>
    <w:bookmarkEnd w:id="6"/>
    <w:p>
      <w:pPr>
        <w:pStyle w:val="25"/>
        <w:rPr>
          <w:rFonts w:ascii="Times New Roman"/>
        </w:rPr>
      </w:pPr>
      <w:bookmarkStart w:id="8" w:name="_Toc18741411"/>
      <w:bookmarkStart w:id="9" w:name="_Toc26887129"/>
      <w:bookmarkStart w:id="10" w:name="_Toc26955155"/>
      <w:bookmarkStart w:id="11" w:name="_Toc27573327"/>
      <w:r>
        <w:rPr>
          <w:rFonts w:ascii="Times New Roman"/>
        </w:rPr>
        <w:t>前  言</w:t>
      </w:r>
      <w:bookmarkEnd w:id="7"/>
      <w:bookmarkEnd w:id="8"/>
      <w:bookmarkEnd w:id="9"/>
      <w:bookmarkEnd w:id="10"/>
      <w:bookmarkEnd w:id="11"/>
      <w:bookmarkStart w:id="12" w:name="pindex30"/>
      <w:bookmarkEnd w:id="12"/>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本文件按</w:t>
      </w:r>
      <w:r>
        <w:rPr>
          <w:rFonts w:ascii="Times New Roman" w:hAnsi="Times New Roman" w:eastAsia="宋体" w:cs="Times New Roman"/>
        </w:rPr>
        <w:t>GB/T 1.1—2020给出的规则起草。</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本文件由中国粮油学会提出并归口。</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本文件负责起草单位：</w:t>
      </w:r>
      <w:bookmarkStart w:id="13" w:name="OLE_LINK8"/>
      <w:bookmarkStart w:id="14" w:name="OLE_LINK7"/>
      <w:bookmarkStart w:id="15" w:name="OLE_LINK10"/>
    </w:p>
    <w:bookmarkEnd w:id="13"/>
    <w:bookmarkEnd w:id="14"/>
    <w:bookmarkEnd w:id="15"/>
    <w:p>
      <w:pPr>
        <w:spacing w:line="360" w:lineRule="auto"/>
        <w:ind w:firstLine="420" w:firstLineChars="200"/>
        <w:rPr>
          <w:rFonts w:ascii="Times New Roman" w:hAnsi="Times New Roman" w:eastAsia="宋体" w:cs="Times New Roman"/>
          <w:szCs w:val="21"/>
        </w:rPr>
        <w:sectPr>
          <w:headerReference r:id="rId5" w:type="default"/>
          <w:footerReference r:id="rId6" w:type="default"/>
          <w:pgSz w:w="11906" w:h="16838"/>
          <w:pgMar w:top="1418" w:right="1134" w:bottom="1134" w:left="1418" w:header="851" w:footer="992" w:gutter="0"/>
          <w:pgNumType w:fmt="upperRoman" w:start="1"/>
          <w:cols w:space="425" w:num="1"/>
          <w:docGrid w:type="lines" w:linePitch="312" w:charSpace="0"/>
        </w:sectPr>
      </w:pPr>
      <w:r>
        <w:rPr>
          <w:rFonts w:ascii="Times New Roman" w:hAnsi="Times New Roman" w:eastAsia="宋体" w:cs="Times New Roman"/>
        </w:rPr>
        <w:t>本文件起草人：</w:t>
      </w:r>
      <w:r>
        <w:rPr>
          <w:rFonts w:ascii="Times New Roman" w:hAnsi="Times New Roman" w:eastAsia="宋体" w:cs="Times New Roman"/>
          <w:szCs w:val="21"/>
        </w:rPr>
        <w:t xml:space="preserve"> </w:t>
      </w:r>
    </w:p>
    <w:p>
      <w:pPr>
        <w:jc w:val="center"/>
        <w:rPr>
          <w:b/>
          <w:sz w:val="32"/>
          <w:szCs w:val="32"/>
        </w:rPr>
      </w:pPr>
      <w:bookmarkStart w:id="16" w:name="pindex36"/>
      <w:bookmarkEnd w:id="16"/>
      <w:r>
        <w:rPr>
          <w:rFonts w:hint="eastAsia"/>
          <w:b/>
          <w:sz w:val="32"/>
          <w:szCs w:val="32"/>
        </w:rPr>
        <w:t>低菌小麦粉生产技术规程</w:t>
      </w:r>
    </w:p>
    <w:p>
      <w:pPr>
        <w:pStyle w:val="26"/>
        <w:numPr>
          <w:ilvl w:val="0"/>
          <w:numId w:val="1"/>
        </w:numPr>
        <w:spacing w:before="0" w:beforeLines="0" w:after="156" w:afterLines="50" w:line="360" w:lineRule="auto"/>
        <w:ind w:left="0"/>
        <w:rPr>
          <w:rFonts w:ascii="Times New Roman"/>
        </w:rPr>
      </w:pPr>
      <w:bookmarkStart w:id="17" w:name="_Toc15220645"/>
      <w:bookmarkStart w:id="18" w:name="_Toc27573328"/>
      <w:r>
        <w:rPr>
          <w:rFonts w:ascii="Times New Roman"/>
        </w:rPr>
        <w:t>范围</w:t>
      </w:r>
      <w:bookmarkEnd w:id="17"/>
      <w:bookmarkEnd w:id="18"/>
      <w:bookmarkStart w:id="19" w:name="pindex37"/>
      <w:bookmarkEnd w:id="19"/>
    </w:p>
    <w:p>
      <w:pPr>
        <w:ind w:firstLine="420" w:firstLineChars="200"/>
        <w:rPr>
          <w:rFonts w:ascii="宋体" w:hAnsi="宋体" w:eastAsia="宋体"/>
          <w:szCs w:val="21"/>
        </w:rPr>
      </w:pPr>
      <w:r>
        <w:rPr>
          <w:rFonts w:ascii="宋体" w:hAnsi="宋体" w:eastAsia="宋体"/>
          <w:szCs w:val="21"/>
        </w:rPr>
        <w:t>本文件规定了</w:t>
      </w:r>
      <w:r>
        <w:rPr>
          <w:rFonts w:hint="eastAsia" w:ascii="宋体" w:hAnsi="宋体" w:eastAsia="宋体"/>
          <w:szCs w:val="21"/>
        </w:rPr>
        <w:t>低菌小麦粉生产</w:t>
      </w:r>
      <w:r>
        <w:rPr>
          <w:rFonts w:ascii="宋体" w:hAnsi="宋体" w:eastAsia="宋体"/>
          <w:szCs w:val="21"/>
        </w:rPr>
        <w:t>的术语和定义、</w:t>
      </w:r>
      <w:r>
        <w:rPr>
          <w:rFonts w:hint="eastAsia" w:ascii="宋体" w:hAnsi="宋体" w:eastAsia="宋体"/>
          <w:szCs w:val="21"/>
        </w:rPr>
        <w:t>生产全程涉及的</w:t>
      </w:r>
      <w:r>
        <w:rPr>
          <w:rFonts w:ascii="宋体" w:hAnsi="宋体" w:eastAsia="宋体"/>
          <w:szCs w:val="21"/>
        </w:rPr>
        <w:t>原料</w:t>
      </w:r>
      <w:r>
        <w:rPr>
          <w:rFonts w:hint="eastAsia" w:ascii="宋体" w:hAnsi="宋体" w:eastAsia="宋体"/>
          <w:szCs w:val="21"/>
        </w:rPr>
        <w:t>要求、</w:t>
      </w:r>
      <w:r>
        <w:rPr>
          <w:rFonts w:ascii="宋体" w:hAnsi="宋体" w:eastAsia="宋体"/>
          <w:szCs w:val="21"/>
        </w:rPr>
        <w:t>环境</w:t>
      </w:r>
      <w:r>
        <w:rPr>
          <w:rFonts w:hint="eastAsia" w:ascii="宋体" w:hAnsi="宋体" w:eastAsia="宋体"/>
          <w:szCs w:val="21"/>
        </w:rPr>
        <w:t>要求、</w:t>
      </w:r>
      <w:r>
        <w:rPr>
          <w:rFonts w:ascii="宋体" w:hAnsi="宋体" w:eastAsia="宋体"/>
          <w:szCs w:val="21"/>
        </w:rPr>
        <w:t>清理</w:t>
      </w:r>
      <w:r>
        <w:rPr>
          <w:rFonts w:hint="eastAsia" w:ascii="宋体" w:hAnsi="宋体" w:eastAsia="宋体"/>
          <w:szCs w:val="21"/>
        </w:rPr>
        <w:t>要求、</w:t>
      </w:r>
      <w:r>
        <w:rPr>
          <w:rFonts w:ascii="宋体" w:hAnsi="宋体" w:eastAsia="宋体"/>
          <w:szCs w:val="21"/>
        </w:rPr>
        <w:t>润麦</w:t>
      </w:r>
      <w:r>
        <w:rPr>
          <w:rFonts w:hint="eastAsia" w:ascii="宋体" w:hAnsi="宋体" w:eastAsia="宋体"/>
          <w:szCs w:val="21"/>
        </w:rPr>
        <w:t>要求、</w:t>
      </w:r>
      <w:r>
        <w:rPr>
          <w:rFonts w:ascii="宋体" w:hAnsi="宋体" w:eastAsia="宋体"/>
          <w:szCs w:val="21"/>
        </w:rPr>
        <w:t>制粉</w:t>
      </w:r>
      <w:r>
        <w:rPr>
          <w:rFonts w:hint="eastAsia" w:ascii="宋体" w:hAnsi="宋体" w:eastAsia="宋体"/>
          <w:szCs w:val="21"/>
        </w:rPr>
        <w:t>要求、</w:t>
      </w:r>
      <w:r>
        <w:rPr>
          <w:rFonts w:ascii="宋体" w:hAnsi="宋体" w:eastAsia="宋体"/>
          <w:szCs w:val="21"/>
        </w:rPr>
        <w:t>配粉</w:t>
      </w:r>
      <w:r>
        <w:rPr>
          <w:rFonts w:hint="eastAsia" w:ascii="宋体" w:hAnsi="宋体" w:eastAsia="宋体"/>
          <w:szCs w:val="21"/>
        </w:rPr>
        <w:t>要求、</w:t>
      </w:r>
      <w:r>
        <w:rPr>
          <w:rFonts w:ascii="宋体" w:hAnsi="宋体" w:eastAsia="宋体"/>
          <w:szCs w:val="21"/>
        </w:rPr>
        <w:t>物流</w:t>
      </w:r>
      <w:r>
        <w:rPr>
          <w:rFonts w:hint="eastAsia" w:ascii="宋体" w:hAnsi="宋体" w:eastAsia="宋体"/>
          <w:szCs w:val="21"/>
        </w:rPr>
        <w:t>要求、</w:t>
      </w:r>
      <w:r>
        <w:rPr>
          <w:rFonts w:ascii="宋体" w:hAnsi="宋体" w:eastAsia="宋体"/>
          <w:szCs w:val="21"/>
        </w:rPr>
        <w:t>卫生与质量检验管理要求</w:t>
      </w:r>
      <w:r>
        <w:rPr>
          <w:rFonts w:hint="eastAsia" w:ascii="宋体" w:hAnsi="宋体" w:eastAsia="宋体"/>
          <w:szCs w:val="21"/>
        </w:rPr>
        <w:t>等。</w:t>
      </w:r>
    </w:p>
    <w:p>
      <w:pPr>
        <w:ind w:firstLine="420" w:firstLineChars="200"/>
        <w:rPr>
          <w:rFonts w:ascii="宋体" w:hAnsi="宋体" w:eastAsia="宋体"/>
          <w:szCs w:val="21"/>
        </w:rPr>
      </w:pPr>
      <w:r>
        <w:rPr>
          <w:rFonts w:ascii="宋体" w:hAnsi="宋体" w:eastAsia="宋体"/>
          <w:szCs w:val="21"/>
        </w:rPr>
        <w:t>本文件适用于</w:t>
      </w:r>
      <w:r>
        <w:rPr>
          <w:rFonts w:hint="eastAsia" w:ascii="宋体" w:hAnsi="宋体" w:eastAsia="宋体"/>
          <w:szCs w:val="21"/>
        </w:rPr>
        <w:t>食用商品低菌小麦粉的生产</w:t>
      </w:r>
      <w:r>
        <w:rPr>
          <w:rFonts w:ascii="宋体" w:hAnsi="宋体" w:eastAsia="宋体"/>
          <w:szCs w:val="21"/>
        </w:rPr>
        <w:t>。</w:t>
      </w:r>
    </w:p>
    <w:p>
      <w:pPr>
        <w:pStyle w:val="26"/>
        <w:numPr>
          <w:ilvl w:val="0"/>
          <w:numId w:val="1"/>
        </w:numPr>
        <w:spacing w:before="156" w:beforeLines="50" w:after="156" w:afterLines="50" w:line="360" w:lineRule="auto"/>
        <w:ind w:left="0"/>
        <w:rPr>
          <w:rFonts w:ascii="Times New Roman"/>
        </w:rPr>
      </w:pPr>
      <w:bookmarkStart w:id="20" w:name="_Toc15220646"/>
      <w:bookmarkStart w:id="21" w:name="_Toc27573329"/>
      <w:r>
        <w:rPr>
          <w:rFonts w:ascii="Times New Roman"/>
        </w:rPr>
        <w:t>规范性引用文件</w:t>
      </w:r>
      <w:bookmarkEnd w:id="20"/>
      <w:bookmarkEnd w:id="21"/>
      <w:bookmarkStart w:id="22" w:name="pindex40"/>
      <w:bookmarkEnd w:id="22"/>
    </w:p>
    <w:p>
      <w:pPr>
        <w:ind w:firstLine="420" w:firstLineChars="200"/>
        <w:rPr>
          <w:rFonts w:ascii="宋体" w:hAnsi="宋体" w:eastAsia="宋体"/>
          <w:szCs w:val="21"/>
        </w:rPr>
      </w:pPr>
      <w:r>
        <w:rPr>
          <w:rFonts w:ascii="宋体" w:hAnsi="宋体" w:eastAsia="宋体"/>
          <w:szCs w:val="21"/>
        </w:rPr>
        <w:t>下列文件对于本</w:t>
      </w:r>
      <w:r>
        <w:rPr>
          <w:rFonts w:hint="eastAsia" w:ascii="宋体" w:hAnsi="宋体" w:eastAsia="宋体"/>
          <w:szCs w:val="21"/>
        </w:rPr>
        <w:t>文件</w:t>
      </w:r>
      <w:r>
        <w:rPr>
          <w:rFonts w:ascii="宋体" w:hAnsi="宋体" w:eastAsia="宋体"/>
          <w:szCs w:val="21"/>
        </w:rPr>
        <w:t>的应用是必不可少的。凡是注日期的引用文件，仅注日期的版本适用于本</w:t>
      </w:r>
      <w:r>
        <w:rPr>
          <w:rFonts w:hint="eastAsia" w:ascii="宋体" w:hAnsi="宋体" w:eastAsia="宋体"/>
          <w:szCs w:val="21"/>
        </w:rPr>
        <w:t>文件</w:t>
      </w:r>
      <w:r>
        <w:rPr>
          <w:rFonts w:ascii="宋体" w:hAnsi="宋体" w:eastAsia="宋体"/>
          <w:szCs w:val="21"/>
        </w:rPr>
        <w:t>。凡是不注日期的引用文件，其最新版本（包括所有的修改单）适用于本</w:t>
      </w:r>
      <w:r>
        <w:rPr>
          <w:rFonts w:hint="eastAsia" w:ascii="宋体" w:hAnsi="宋体" w:eastAsia="宋体"/>
          <w:szCs w:val="21"/>
        </w:rPr>
        <w:t>文件</w:t>
      </w:r>
      <w:r>
        <w:rPr>
          <w:rFonts w:ascii="宋体" w:hAnsi="宋体" w:eastAsia="宋体"/>
          <w:szCs w:val="21"/>
        </w:rPr>
        <w:t>。</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76"/>
        <w:gridCol w:w="5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szCs w:val="21"/>
              </w:rPr>
            </w:pPr>
            <w:bookmarkStart w:id="23" w:name="OLE_LINK13"/>
            <w:bookmarkStart w:id="24" w:name="OLE_LINK14"/>
            <w:r>
              <w:rPr>
                <w:rFonts w:ascii="Times New Roman" w:hAnsi="Times New Roman" w:eastAsia="宋体" w:cs="Times New Roman"/>
              </w:rPr>
              <w:t>GB 1351</w:t>
            </w:r>
          </w:p>
        </w:tc>
        <w:tc>
          <w:tcPr>
            <w:tcW w:w="5670" w:type="dxa"/>
          </w:tcPr>
          <w:p>
            <w:pPr>
              <w:rPr>
                <w:rFonts w:ascii="Times New Roman" w:hAnsi="Times New Roman" w:eastAsia="宋体" w:cs="Times New Roman"/>
                <w:szCs w:val="21"/>
              </w:rPr>
            </w:pPr>
            <w:r>
              <w:rPr>
                <w:rFonts w:ascii="Times New Roman" w:hAnsi="Times New Roman" w:eastAsia="宋体" w:cs="Times New Roman"/>
              </w:rPr>
              <w:t>小麦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szCs w:val="21"/>
              </w:rPr>
            </w:pPr>
            <w:r>
              <w:rPr>
                <w:rFonts w:ascii="Times New Roman" w:hAnsi="Times New Roman" w:eastAsia="宋体" w:cs="Times New Roman"/>
              </w:rPr>
              <w:t>GB 2715</w:t>
            </w:r>
          </w:p>
        </w:tc>
        <w:tc>
          <w:tcPr>
            <w:tcW w:w="5670" w:type="dxa"/>
          </w:tcPr>
          <w:p>
            <w:pPr>
              <w:rPr>
                <w:rFonts w:ascii="Times New Roman" w:hAnsi="Times New Roman" w:eastAsia="宋体" w:cs="Times New Roman"/>
                <w:szCs w:val="21"/>
              </w:rPr>
            </w:pPr>
            <w:r>
              <w:rPr>
                <w:rFonts w:ascii="Times New Roman" w:hAnsi="Times New Roman" w:eastAsia="宋体" w:cs="Times New Roman"/>
              </w:rPr>
              <w:t>食品安全国家标准 粮食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szCs w:val="21"/>
              </w:rPr>
            </w:pPr>
            <w:r>
              <w:rPr>
                <w:rFonts w:ascii="Times New Roman" w:hAnsi="Times New Roman" w:eastAsia="宋体" w:cs="Times New Roman"/>
              </w:rPr>
              <w:t>GB 3095</w:t>
            </w:r>
          </w:p>
        </w:tc>
        <w:tc>
          <w:tcPr>
            <w:tcW w:w="5670" w:type="dxa"/>
          </w:tcPr>
          <w:p>
            <w:pPr>
              <w:rPr>
                <w:rFonts w:ascii="Times New Roman" w:hAnsi="Times New Roman" w:eastAsia="宋体" w:cs="Times New Roman"/>
                <w:szCs w:val="21"/>
              </w:rPr>
            </w:pPr>
            <w:r>
              <w:rPr>
                <w:rFonts w:ascii="Times New Roman" w:hAnsi="Times New Roman" w:eastAsia="宋体" w:cs="Times New Roman"/>
              </w:rPr>
              <w:t>环境空气质量标准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rPr>
            </w:pPr>
            <w:r>
              <w:rPr>
                <w:rFonts w:ascii="Times New Roman" w:hAnsi="Times New Roman" w:eastAsia="宋体" w:cs="Times New Roman"/>
              </w:rPr>
              <w:t>GB 4789.2</w:t>
            </w:r>
          </w:p>
        </w:tc>
        <w:tc>
          <w:tcPr>
            <w:tcW w:w="5670" w:type="dxa"/>
          </w:tcPr>
          <w:p>
            <w:pPr>
              <w:rPr>
                <w:rFonts w:ascii="Times New Roman" w:hAnsi="Times New Roman" w:eastAsia="宋体" w:cs="Times New Roman"/>
              </w:rPr>
            </w:pPr>
            <w:r>
              <w:rPr>
                <w:rFonts w:ascii="Times New Roman" w:hAnsi="Times New Roman" w:eastAsia="宋体" w:cs="Times New Roman"/>
              </w:rPr>
              <w:t>食品安全国家标准</w:t>
            </w:r>
            <w:r>
              <w:rPr>
                <w:rFonts w:hint="eastAsia" w:ascii="Times New Roman" w:hAnsi="Times New Roman" w:eastAsia="宋体" w:cs="Times New Roman"/>
              </w:rPr>
              <w:t xml:space="preserve"> </w:t>
            </w:r>
            <w:r>
              <w:rPr>
                <w:rFonts w:ascii="Times New Roman" w:hAnsi="Times New Roman" w:eastAsia="宋体" w:cs="Times New Roman"/>
              </w:rPr>
              <w:t>食品微生物学检验</w:t>
            </w:r>
            <w:r>
              <w:rPr>
                <w:rFonts w:hint="eastAsia" w:ascii="Times New Roman" w:hAnsi="Times New Roman" w:eastAsia="宋体" w:cs="Times New Roman"/>
              </w:rPr>
              <w:t xml:space="preserve"> </w:t>
            </w:r>
            <w:r>
              <w:rPr>
                <w:rFonts w:ascii="Times New Roman" w:hAnsi="Times New Roman" w:eastAsia="宋体" w:cs="Times New Roman"/>
              </w:rPr>
              <w:t>菌落总数测定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rPr>
            </w:pPr>
            <w:r>
              <w:rPr>
                <w:rFonts w:ascii="Times New Roman" w:hAnsi="Times New Roman" w:eastAsia="宋体" w:cs="Times New Roman"/>
              </w:rPr>
              <w:t>GB 13122-1991</w:t>
            </w:r>
          </w:p>
        </w:tc>
        <w:tc>
          <w:tcPr>
            <w:tcW w:w="5670" w:type="dxa"/>
          </w:tcPr>
          <w:p>
            <w:pPr>
              <w:rPr>
                <w:rFonts w:ascii="Times New Roman" w:hAnsi="Times New Roman" w:eastAsia="宋体" w:cs="Times New Roman"/>
              </w:rPr>
            </w:pPr>
            <w:r>
              <w:rPr>
                <w:rFonts w:hint="eastAsia" w:ascii="Times New Roman" w:hAnsi="Times New Roman" w:eastAsia="宋体" w:cs="Times New Roman"/>
              </w:rPr>
              <w:t>面粉厂卫生规范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rPr>
            </w:pPr>
            <w:r>
              <w:rPr>
                <w:rFonts w:ascii="Times New Roman" w:hAnsi="Times New Roman" w:eastAsia="宋体" w:cs="Times New Roman"/>
              </w:rPr>
              <w:t>GB 13122</w:t>
            </w:r>
          </w:p>
        </w:tc>
        <w:tc>
          <w:tcPr>
            <w:tcW w:w="5670" w:type="dxa"/>
          </w:tcPr>
          <w:p>
            <w:pPr>
              <w:rPr>
                <w:rFonts w:ascii="Times New Roman" w:hAnsi="Times New Roman" w:eastAsia="宋体" w:cs="Times New Roman"/>
              </w:rPr>
            </w:pPr>
            <w:r>
              <w:rPr>
                <w:rFonts w:ascii="Times New Roman" w:hAnsi="Times New Roman" w:eastAsia="宋体" w:cs="Times New Roman"/>
              </w:rPr>
              <w:t>食品安全国家标准 谷物加工卫生规范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szCs w:val="21"/>
              </w:rPr>
            </w:pPr>
            <w:r>
              <w:rPr>
                <w:rFonts w:ascii="Times New Roman" w:hAnsi="Times New Roman" w:eastAsia="宋体" w:cs="Times New Roman"/>
              </w:rPr>
              <w:t>GB/T 1355</w:t>
            </w:r>
          </w:p>
        </w:tc>
        <w:tc>
          <w:tcPr>
            <w:tcW w:w="5670" w:type="dxa"/>
          </w:tcPr>
          <w:p>
            <w:pPr>
              <w:rPr>
                <w:rFonts w:ascii="Times New Roman" w:hAnsi="Times New Roman" w:eastAsia="宋体" w:cs="Times New Roman"/>
                <w:szCs w:val="21"/>
              </w:rPr>
            </w:pPr>
            <w:r>
              <w:rPr>
                <w:rFonts w:ascii="Times New Roman" w:hAnsi="Times New Roman" w:eastAsia="宋体" w:cs="Times New Roman"/>
              </w:rPr>
              <w:t>小麦粉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szCs w:val="21"/>
              </w:rPr>
            </w:pPr>
            <w:bookmarkStart w:id="25" w:name="RANGE!M45"/>
            <w:r>
              <w:rPr>
                <w:rFonts w:ascii="Times New Roman" w:hAnsi="Times New Roman" w:eastAsia="宋体" w:cs="Times New Roman"/>
              </w:rPr>
              <w:t>GB/T 17109</w:t>
            </w:r>
            <w:bookmarkEnd w:id="25"/>
          </w:p>
        </w:tc>
        <w:tc>
          <w:tcPr>
            <w:tcW w:w="5670" w:type="dxa"/>
          </w:tcPr>
          <w:p>
            <w:pPr>
              <w:rPr>
                <w:rFonts w:ascii="Times New Roman" w:hAnsi="Times New Roman" w:eastAsia="宋体" w:cs="Times New Roman"/>
                <w:szCs w:val="21"/>
              </w:rPr>
            </w:pPr>
            <w:r>
              <w:rPr>
                <w:rFonts w:ascii="Times New Roman" w:hAnsi="Times New Roman" w:eastAsia="宋体" w:cs="Times New Roman"/>
              </w:rPr>
              <w:t>粮食销售包装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szCs w:val="21"/>
              </w:rPr>
            </w:pPr>
            <w:r>
              <w:rPr>
                <w:rFonts w:ascii="Times New Roman" w:hAnsi="Times New Roman" w:eastAsia="宋体" w:cs="Times New Roman"/>
              </w:rPr>
              <w:t>JJF 1070.2</w:t>
            </w:r>
          </w:p>
        </w:tc>
        <w:tc>
          <w:tcPr>
            <w:tcW w:w="5670" w:type="dxa"/>
          </w:tcPr>
          <w:p>
            <w:pPr>
              <w:rPr>
                <w:rFonts w:ascii="Times New Roman" w:hAnsi="Times New Roman" w:eastAsia="宋体" w:cs="Times New Roman"/>
                <w:szCs w:val="21"/>
              </w:rPr>
            </w:pPr>
            <w:r>
              <w:rPr>
                <w:rFonts w:ascii="Times New Roman" w:hAnsi="Times New Roman" w:eastAsia="宋体" w:cs="Times New Roman"/>
              </w:rPr>
              <w:t>定量包装商品净含量计量检验规则 小麦粉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szCs w:val="21"/>
              </w:rPr>
            </w:pPr>
            <w:r>
              <w:rPr>
                <w:rFonts w:ascii="Times New Roman" w:hAnsi="Times New Roman" w:eastAsia="宋体" w:cs="Times New Roman"/>
              </w:rPr>
              <w:t>LS/T 3109</w:t>
            </w:r>
          </w:p>
        </w:tc>
        <w:tc>
          <w:tcPr>
            <w:tcW w:w="5670" w:type="dxa"/>
          </w:tcPr>
          <w:p>
            <w:pPr>
              <w:rPr>
                <w:rFonts w:ascii="Times New Roman" w:hAnsi="Times New Roman" w:eastAsia="宋体" w:cs="Times New Roman"/>
                <w:szCs w:val="21"/>
              </w:rPr>
            </w:pPr>
            <w:r>
              <w:rPr>
                <w:rFonts w:ascii="Times New Roman" w:hAnsi="Times New Roman" w:eastAsia="宋体" w:cs="Times New Roman"/>
              </w:rPr>
              <w:t>中国好粮油 小麦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szCs w:val="21"/>
              </w:rPr>
            </w:pPr>
            <w:r>
              <w:rPr>
                <w:rFonts w:ascii="Times New Roman" w:hAnsi="Times New Roman" w:eastAsia="宋体" w:cs="Times New Roman"/>
              </w:rPr>
              <w:t>LS/T 3248</w:t>
            </w:r>
          </w:p>
        </w:tc>
        <w:tc>
          <w:tcPr>
            <w:tcW w:w="5670" w:type="dxa"/>
          </w:tcPr>
          <w:p>
            <w:pPr>
              <w:rPr>
                <w:rFonts w:ascii="Times New Roman" w:hAnsi="Times New Roman" w:eastAsia="宋体" w:cs="Times New Roman"/>
                <w:szCs w:val="21"/>
              </w:rPr>
            </w:pPr>
            <w:r>
              <w:rPr>
                <w:rFonts w:ascii="Times New Roman" w:hAnsi="Times New Roman" w:eastAsia="宋体" w:cs="Times New Roman"/>
              </w:rPr>
              <w:t>中国好粮油 小麦粉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szCs w:val="21"/>
              </w:rPr>
            </w:pPr>
            <w:r>
              <w:rPr>
                <w:rFonts w:ascii="Times New Roman" w:hAnsi="Times New Roman" w:eastAsia="宋体" w:cs="Times New Roman"/>
              </w:rPr>
              <w:t>T/CCOA 7</w:t>
            </w:r>
          </w:p>
        </w:tc>
        <w:tc>
          <w:tcPr>
            <w:tcW w:w="5670" w:type="dxa"/>
          </w:tcPr>
          <w:p>
            <w:pPr>
              <w:rPr>
                <w:rFonts w:ascii="Times New Roman" w:hAnsi="Times New Roman" w:eastAsia="宋体" w:cs="Times New Roman"/>
                <w:szCs w:val="21"/>
              </w:rPr>
            </w:pPr>
            <w:r>
              <w:rPr>
                <w:rFonts w:ascii="Times New Roman" w:hAnsi="Times New Roman" w:eastAsia="宋体" w:cs="Times New Roman"/>
              </w:rPr>
              <w:t>低菌小麦粉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46" w:type="dxa"/>
            <w:gridSpan w:val="2"/>
          </w:tcPr>
          <w:p>
            <w:pPr>
              <w:rPr>
                <w:rFonts w:ascii="Times New Roman" w:hAnsi="Times New Roman" w:eastAsia="宋体" w:cs="Times New Roman"/>
              </w:rPr>
            </w:pPr>
            <w:r>
              <w:rPr>
                <w:rFonts w:hint="eastAsia" w:ascii="Times New Roman" w:hAnsi="Times New Roman" w:eastAsia="宋体" w:cs="Times New Roman"/>
              </w:rPr>
              <w:t>定量包装商品计量监督管理办法</w:t>
            </w:r>
            <w:r>
              <w:rPr>
                <w:rFonts w:ascii="Times New Roman" w:hAnsi="Times New Roman" w:eastAsia="宋体" w:cs="Times New Roman"/>
              </w:rPr>
              <w:t xml:space="preserve"> 国家质量监督检验检疫总局令（2005）第75号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46" w:type="dxa"/>
            <w:gridSpan w:val="2"/>
          </w:tcPr>
          <w:p>
            <w:pPr>
              <w:rPr>
                <w:rFonts w:ascii="宋体" w:hAnsi="宋体" w:eastAsia="宋体" w:cs="Times New Roman"/>
                <w:szCs w:val="21"/>
              </w:rPr>
            </w:pPr>
            <w:r>
              <w:rPr>
                <w:rFonts w:hint="eastAsia" w:ascii="宋体" w:hAnsi="宋体" w:eastAsia="宋体" w:cs="Times New Roman"/>
                <w:szCs w:val="21"/>
              </w:rPr>
              <w:t>《中华人民共和国清洁生产促进法》</w:t>
            </w:r>
          </w:p>
        </w:tc>
      </w:tr>
      <w:bookmarkEnd w:id="23"/>
      <w:bookmarkEnd w:id="24"/>
    </w:tbl>
    <w:p>
      <w:pPr>
        <w:pStyle w:val="26"/>
        <w:numPr>
          <w:ilvl w:val="0"/>
          <w:numId w:val="1"/>
        </w:numPr>
        <w:spacing w:before="156" w:beforeLines="50" w:after="156" w:afterLines="50" w:line="360" w:lineRule="auto"/>
        <w:ind w:left="0"/>
        <w:rPr>
          <w:rFonts w:ascii="Times New Roman"/>
        </w:rPr>
      </w:pPr>
      <w:bookmarkStart w:id="26" w:name="_Toc15220647"/>
      <w:bookmarkStart w:id="27" w:name="_Toc27573330"/>
      <w:r>
        <w:rPr>
          <w:rFonts w:ascii="Times New Roman"/>
        </w:rPr>
        <w:t>术语和定义</w:t>
      </w:r>
      <w:bookmarkEnd w:id="26"/>
      <w:bookmarkEnd w:id="27"/>
      <w:bookmarkStart w:id="28" w:name="pindex66"/>
      <w:bookmarkEnd w:id="28"/>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下列术语和定义适用于本</w:t>
      </w:r>
      <w:r>
        <w:rPr>
          <w:rFonts w:hint="eastAsia" w:ascii="Times New Roman" w:hAnsi="Times New Roman" w:eastAsia="宋体" w:cs="Times New Roman"/>
          <w:szCs w:val="21"/>
        </w:rPr>
        <w:t>文件</w:t>
      </w:r>
      <w:r>
        <w:rPr>
          <w:rFonts w:ascii="Times New Roman" w:hAnsi="Times New Roman" w:eastAsia="宋体" w:cs="Times New Roman"/>
          <w:szCs w:val="21"/>
        </w:rPr>
        <w:t>。</w:t>
      </w:r>
    </w:p>
    <w:p>
      <w:pPr>
        <w:pStyle w:val="33"/>
        <w:numPr>
          <w:ilvl w:val="1"/>
          <w:numId w:val="1"/>
        </w:numPr>
        <w:spacing w:before="0" w:beforeLines="0" w:after="0" w:afterLines="0"/>
        <w:ind w:left="0"/>
        <w:rPr>
          <w:rFonts w:ascii="Times New Roman"/>
        </w:rPr>
      </w:pPr>
      <w:bookmarkStart w:id="29" w:name="pindex68"/>
      <w:bookmarkEnd w:id="29"/>
    </w:p>
    <w:p>
      <w:pPr>
        <w:pStyle w:val="33"/>
        <w:spacing w:before="0" w:beforeLines="0" w:after="0" w:afterLines="0"/>
        <w:ind w:firstLine="420" w:firstLineChars="200"/>
        <w:rPr>
          <w:rFonts w:ascii="Times New Roman"/>
        </w:rPr>
      </w:pPr>
      <w:r>
        <w:rPr>
          <w:rFonts w:ascii="Times New Roman"/>
        </w:rPr>
        <w:t>小麦粉</w:t>
      </w:r>
      <w:r>
        <w:rPr>
          <w:rFonts w:hint="eastAsia" w:ascii="Times New Roman"/>
        </w:rPr>
        <w:t xml:space="preserve"> </w:t>
      </w:r>
      <w:r>
        <w:rPr>
          <w:rFonts w:ascii="Times New Roman"/>
        </w:rPr>
        <w:t>w</w:t>
      </w:r>
      <w:r>
        <w:rPr>
          <w:rFonts w:hint="eastAsia" w:ascii="Times New Roman"/>
        </w:rPr>
        <w:t>heat flour</w:t>
      </w:r>
      <w:r>
        <w:rPr>
          <w:rFonts w:ascii="Times New Roman"/>
        </w:rPr>
        <w:t xml:space="preserve"> </w:t>
      </w:r>
    </w:p>
    <w:p>
      <w:pPr>
        <w:widowControl/>
        <w:spacing w:after="312" w:afterLines="100"/>
        <w:ind w:firstLine="420" w:firstLineChars="200"/>
        <w:jc w:val="left"/>
        <w:outlineLvl w:val="2"/>
        <w:rPr>
          <w:rFonts w:ascii="宋体" w:hAnsi="宋体" w:eastAsia="宋体"/>
          <w:szCs w:val="21"/>
        </w:rPr>
      </w:pPr>
      <w:bookmarkStart w:id="30" w:name="OLE_LINK24"/>
      <w:bookmarkStart w:id="31" w:name="OLE_LINK25"/>
      <w:r>
        <w:rPr>
          <w:rFonts w:hint="eastAsia" w:ascii="宋体" w:hAnsi="宋体" w:eastAsia="宋体"/>
          <w:szCs w:val="21"/>
        </w:rPr>
        <w:t>由小麦经过研磨制粉，部分或全部去除麸皮和胚，用于制作面制食品的产品。</w:t>
      </w:r>
      <w:bookmarkEnd w:id="30"/>
      <w:bookmarkEnd w:id="31"/>
    </w:p>
    <w:p>
      <w:pPr>
        <w:pStyle w:val="33"/>
        <w:numPr>
          <w:ilvl w:val="1"/>
          <w:numId w:val="1"/>
        </w:numPr>
        <w:spacing w:before="0" w:beforeLines="0" w:after="0" w:afterLines="0"/>
        <w:ind w:left="0"/>
        <w:rPr>
          <w:rFonts w:ascii="Times New Roman"/>
        </w:rPr>
      </w:pPr>
      <w:bookmarkStart w:id="32" w:name="pindex72"/>
      <w:bookmarkEnd w:id="32"/>
    </w:p>
    <w:p>
      <w:pPr>
        <w:pStyle w:val="33"/>
        <w:spacing w:before="0" w:beforeLines="0" w:after="0" w:afterLines="0"/>
        <w:ind w:firstLine="420" w:firstLineChars="200"/>
        <w:rPr>
          <w:rFonts w:ascii="Times New Roman"/>
        </w:rPr>
      </w:pPr>
      <w:bookmarkStart w:id="33" w:name="_Hlk63601170"/>
      <w:r>
        <w:rPr>
          <w:rFonts w:hint="eastAsia" w:ascii="Times New Roman"/>
        </w:rPr>
        <w:t>小麦粉清洁生产</w:t>
      </w:r>
      <w:bookmarkEnd w:id="33"/>
      <w:r>
        <w:rPr>
          <w:rFonts w:hint="eastAsia" w:ascii="Times New Roman"/>
        </w:rPr>
        <w:t xml:space="preserve"> cleaner production</w:t>
      </w:r>
      <w:r>
        <w:rPr>
          <w:rFonts w:ascii="Times New Roman"/>
        </w:rPr>
        <w:t xml:space="preserve"> </w:t>
      </w:r>
      <w:r>
        <w:rPr>
          <w:rFonts w:hint="eastAsia" w:ascii="Times New Roman"/>
        </w:rPr>
        <w:t>of</w:t>
      </w:r>
      <w:r>
        <w:rPr>
          <w:rFonts w:ascii="Times New Roman"/>
        </w:rPr>
        <w:t xml:space="preserve"> wheat flour</w:t>
      </w:r>
    </w:p>
    <w:p>
      <w:pPr>
        <w:ind w:firstLine="420" w:firstLineChars="200"/>
        <w:rPr>
          <w:rFonts w:ascii="宋体" w:hAnsi="宋体" w:eastAsia="宋体"/>
          <w:szCs w:val="21"/>
        </w:rPr>
      </w:pPr>
      <w:r>
        <w:rPr>
          <w:rFonts w:hint="eastAsia" w:ascii="宋体" w:hAnsi="宋体" w:eastAsia="宋体"/>
          <w:szCs w:val="21"/>
        </w:rPr>
        <w:t>指在小麦粉生产过程中，不断采取改进设计，采用先进的工艺技术与设备，改善管理，综合利用等措施，从源头消减污染，提高资源利用效率，达到减少或者避免产品生产加工过程中污染物的产生和排放，从而减轻或者消除对人类健康和环境的危害的过程，同时充分满足人类需要，使社会经济效益最大化的一种生产模式。</w:t>
      </w:r>
    </w:p>
    <w:p>
      <w:pPr>
        <w:widowControl/>
        <w:spacing w:after="312" w:afterLines="100"/>
        <w:ind w:firstLine="360" w:firstLineChars="200"/>
        <w:jc w:val="left"/>
        <w:outlineLvl w:val="2"/>
        <w:rPr>
          <w:rFonts w:ascii="Times New Roman" w:hAnsi="Times New Roman" w:eastAsia="黑体" w:cs="Times New Roman"/>
          <w:sz w:val="18"/>
          <w:szCs w:val="18"/>
        </w:rPr>
      </w:pPr>
      <w:r>
        <w:rPr>
          <w:rFonts w:ascii="Times New Roman" w:hAnsi="Times New Roman" w:eastAsia="黑体" w:cs="Times New Roman"/>
          <w:sz w:val="18"/>
          <w:szCs w:val="18"/>
        </w:rPr>
        <w:t>注：引自</w:t>
      </w:r>
      <w:bookmarkStart w:id="34" w:name="_Hlk63600938"/>
      <w:r>
        <w:rPr>
          <w:rFonts w:ascii="Times New Roman" w:hAnsi="Times New Roman" w:eastAsia="黑体" w:cs="Times New Roman"/>
          <w:sz w:val="18"/>
          <w:szCs w:val="18"/>
        </w:rPr>
        <w:t>《中华人民共和国清洁生产促进法》</w:t>
      </w:r>
      <w:bookmarkEnd w:id="34"/>
      <w:r>
        <w:rPr>
          <w:rFonts w:hint="eastAsia" w:ascii="Times New Roman" w:hAnsi="Times New Roman" w:eastAsia="黑体" w:cs="Times New Roman"/>
          <w:sz w:val="18"/>
          <w:szCs w:val="18"/>
        </w:rPr>
        <w:t>。</w:t>
      </w:r>
    </w:p>
    <w:p>
      <w:pPr>
        <w:pStyle w:val="33"/>
        <w:numPr>
          <w:ilvl w:val="1"/>
          <w:numId w:val="1"/>
        </w:numPr>
        <w:spacing w:before="0" w:beforeLines="0" w:after="0" w:afterLines="0"/>
        <w:ind w:left="0"/>
        <w:rPr>
          <w:rFonts w:ascii="Times New Roman"/>
        </w:rPr>
      </w:pPr>
      <w:bookmarkStart w:id="35" w:name="pindex76"/>
      <w:bookmarkEnd w:id="35"/>
    </w:p>
    <w:p>
      <w:pPr>
        <w:pStyle w:val="33"/>
        <w:spacing w:before="0" w:beforeLines="0" w:after="0" w:afterLines="0"/>
        <w:ind w:firstLine="420" w:firstLineChars="200"/>
        <w:rPr>
          <w:rFonts w:ascii="Times New Roman"/>
        </w:rPr>
      </w:pPr>
      <w:r>
        <w:rPr>
          <w:rFonts w:hint="eastAsia" w:ascii="Times New Roman"/>
        </w:rPr>
        <w:t>清洁生产标准 cleaner production</w:t>
      </w:r>
      <w:r>
        <w:rPr>
          <w:rFonts w:ascii="Times New Roman"/>
        </w:rPr>
        <w:t xml:space="preserve"> </w:t>
      </w:r>
      <w:r>
        <w:rPr>
          <w:rFonts w:hint="eastAsia" w:ascii="Times New Roman"/>
        </w:rPr>
        <w:t>standard</w:t>
      </w:r>
    </w:p>
    <w:p>
      <w:pPr>
        <w:widowControl/>
        <w:spacing w:after="312" w:afterLines="100"/>
        <w:ind w:firstLine="420" w:firstLineChars="200"/>
        <w:jc w:val="left"/>
        <w:outlineLvl w:val="2"/>
        <w:rPr>
          <w:rFonts w:ascii="宋体" w:hAnsi="宋体" w:eastAsia="宋体"/>
          <w:szCs w:val="21"/>
        </w:rPr>
      </w:pPr>
      <w:r>
        <w:rPr>
          <w:rFonts w:hint="eastAsia" w:ascii="宋体" w:hAnsi="宋体" w:eastAsia="宋体"/>
          <w:szCs w:val="21"/>
        </w:rPr>
        <w:t>指从原粮、环境、清理、润麦、净麦、制粉、配粉、物流、卫生与质量管理等方面，对小麦粉的清洁生产水平给出阶段性的技术要求和指标要求，指导企业清洁生产。</w:t>
      </w:r>
    </w:p>
    <w:p>
      <w:pPr>
        <w:pStyle w:val="33"/>
        <w:numPr>
          <w:ilvl w:val="1"/>
          <w:numId w:val="1"/>
        </w:numPr>
        <w:spacing w:before="0" w:beforeLines="0" w:after="0" w:afterLines="0"/>
        <w:ind w:left="0"/>
        <w:rPr>
          <w:rFonts w:ascii="Times New Roman"/>
        </w:rPr>
      </w:pPr>
    </w:p>
    <w:p>
      <w:pPr>
        <w:pStyle w:val="33"/>
        <w:spacing w:before="0" w:beforeLines="0" w:after="0" w:afterLines="0"/>
        <w:ind w:firstLine="420" w:firstLineChars="200"/>
        <w:rPr>
          <w:rFonts w:ascii="Times New Roman"/>
        </w:rPr>
      </w:pPr>
      <w:r>
        <w:rPr>
          <w:rFonts w:hint="eastAsia" w:ascii="Times New Roman"/>
        </w:rPr>
        <w:t xml:space="preserve">生产工艺与装备要求 </w:t>
      </w:r>
      <w:r>
        <w:rPr>
          <w:rFonts w:ascii="Times New Roman"/>
        </w:rPr>
        <w:t>production process and equipment requirements</w:t>
      </w:r>
    </w:p>
    <w:p>
      <w:pPr>
        <w:widowControl/>
        <w:spacing w:after="312" w:afterLines="100"/>
        <w:ind w:firstLine="420" w:firstLineChars="200"/>
        <w:jc w:val="left"/>
        <w:outlineLvl w:val="2"/>
        <w:rPr>
          <w:rFonts w:ascii="宋体" w:hAnsi="宋体" w:eastAsia="宋体"/>
          <w:szCs w:val="21"/>
        </w:rPr>
      </w:pPr>
      <w:r>
        <w:rPr>
          <w:rFonts w:hint="eastAsia" w:ascii="宋体" w:hAnsi="宋体" w:eastAsia="宋体"/>
          <w:szCs w:val="21"/>
        </w:rPr>
        <w:t>指对产品生产中采用的生产工艺和装备的种类、自动化水平等方面的要求。</w:t>
      </w:r>
    </w:p>
    <w:p>
      <w:pPr>
        <w:pStyle w:val="33"/>
        <w:numPr>
          <w:ilvl w:val="1"/>
          <w:numId w:val="1"/>
        </w:numPr>
        <w:spacing w:before="0" w:beforeLines="0" w:after="0" w:afterLines="0"/>
        <w:ind w:left="0"/>
        <w:rPr>
          <w:rFonts w:ascii="Times New Roman"/>
        </w:rPr>
      </w:pPr>
    </w:p>
    <w:p>
      <w:pPr>
        <w:pStyle w:val="33"/>
        <w:spacing w:before="0" w:beforeLines="0" w:after="0" w:afterLines="0"/>
        <w:ind w:firstLine="420" w:firstLineChars="200"/>
        <w:rPr>
          <w:rFonts w:ascii="Times New Roman"/>
        </w:rPr>
      </w:pPr>
      <w:r>
        <w:rPr>
          <w:rFonts w:hint="eastAsia" w:ascii="Times New Roman"/>
        </w:rPr>
        <w:t>环境管理要求</w:t>
      </w:r>
      <w:r>
        <w:rPr>
          <w:rFonts w:ascii="Times New Roman"/>
        </w:rPr>
        <w:t xml:space="preserve"> environmental management requirements</w:t>
      </w:r>
      <w:r>
        <w:rPr>
          <w:rFonts w:hint="eastAsia" w:ascii="Times New Roman"/>
        </w:rPr>
        <w:t xml:space="preserve"> </w:t>
      </w:r>
    </w:p>
    <w:p>
      <w:pPr>
        <w:widowControl/>
        <w:spacing w:after="312" w:afterLines="100"/>
        <w:ind w:firstLine="420" w:firstLineChars="200"/>
        <w:jc w:val="left"/>
        <w:outlineLvl w:val="2"/>
        <w:rPr>
          <w:rFonts w:ascii="宋体" w:hAnsi="宋体" w:eastAsia="宋体"/>
          <w:szCs w:val="21"/>
        </w:rPr>
      </w:pPr>
      <w:r>
        <w:rPr>
          <w:rFonts w:hint="eastAsia" w:ascii="宋体" w:hAnsi="宋体" w:eastAsia="宋体"/>
          <w:szCs w:val="21"/>
        </w:rPr>
        <w:t>指对企业所制定和实施的各类环境管理相关规章、制度和措施的要求，包括执行环保法规情况、企业生产过程管理、环境管理、清洁生产审核、相关环境管理等方面。</w:t>
      </w:r>
    </w:p>
    <w:p>
      <w:pPr>
        <w:pStyle w:val="33"/>
        <w:numPr>
          <w:ilvl w:val="1"/>
          <w:numId w:val="1"/>
        </w:numPr>
        <w:spacing w:before="0" w:beforeLines="0" w:after="0" w:afterLines="0"/>
        <w:ind w:left="0"/>
        <w:rPr>
          <w:rFonts w:ascii="Times New Roman"/>
        </w:rPr>
      </w:pPr>
    </w:p>
    <w:p>
      <w:pPr>
        <w:pStyle w:val="33"/>
        <w:spacing w:before="0" w:beforeLines="0" w:after="0" w:afterLines="0"/>
        <w:ind w:firstLine="420" w:firstLineChars="200"/>
        <w:rPr>
          <w:rFonts w:ascii="Times New Roman"/>
        </w:rPr>
      </w:pPr>
      <w:r>
        <w:rPr>
          <w:rFonts w:hint="eastAsia" w:ascii="Times New Roman"/>
        </w:rPr>
        <w:t xml:space="preserve">工艺用水 </w:t>
      </w:r>
      <w:r>
        <w:rPr>
          <w:rFonts w:ascii="Times New Roman"/>
        </w:rPr>
        <w:t>process water</w:t>
      </w:r>
    </w:p>
    <w:p>
      <w:pPr>
        <w:widowControl/>
        <w:spacing w:after="312" w:afterLines="100"/>
        <w:ind w:firstLine="420" w:firstLineChars="200"/>
        <w:jc w:val="left"/>
        <w:outlineLvl w:val="2"/>
        <w:rPr>
          <w:rFonts w:ascii="宋体" w:hAnsi="宋体" w:eastAsia="宋体"/>
          <w:szCs w:val="21"/>
        </w:rPr>
      </w:pPr>
      <w:r>
        <w:rPr>
          <w:rFonts w:hint="eastAsia" w:ascii="宋体" w:hAnsi="宋体" w:eastAsia="宋体"/>
          <w:szCs w:val="21"/>
        </w:rPr>
        <w:t>小麦粉清洁生产加工过程中的润麦用水。</w:t>
      </w:r>
    </w:p>
    <w:p>
      <w:pPr>
        <w:pStyle w:val="33"/>
        <w:numPr>
          <w:ilvl w:val="1"/>
          <w:numId w:val="1"/>
        </w:numPr>
        <w:spacing w:before="0" w:beforeLines="0" w:after="0" w:afterLines="0"/>
        <w:ind w:left="0"/>
        <w:rPr>
          <w:rFonts w:ascii="Times New Roman"/>
        </w:rPr>
      </w:pPr>
    </w:p>
    <w:p>
      <w:pPr>
        <w:pStyle w:val="33"/>
        <w:spacing w:before="0" w:beforeLines="0" w:after="0" w:afterLines="0"/>
        <w:ind w:firstLine="420" w:firstLineChars="200"/>
        <w:rPr>
          <w:rFonts w:ascii="Times New Roman"/>
        </w:rPr>
      </w:pPr>
      <w:r>
        <w:rPr>
          <w:rFonts w:ascii="Times New Roman"/>
        </w:rPr>
        <w:t>低菌小麦粉</w:t>
      </w:r>
      <w:r>
        <w:rPr>
          <w:rFonts w:hint="eastAsia" w:ascii="Times New Roman"/>
        </w:rPr>
        <w:t xml:space="preserve"> wheat flour with lower microbial load</w:t>
      </w:r>
    </w:p>
    <w:p>
      <w:pPr>
        <w:widowControl/>
        <w:spacing w:after="312" w:afterLines="100"/>
        <w:ind w:firstLine="420" w:firstLineChars="200"/>
        <w:jc w:val="left"/>
        <w:outlineLvl w:val="2"/>
        <w:rPr>
          <w:rFonts w:ascii="宋体" w:hAnsi="宋体" w:eastAsia="宋体"/>
          <w:szCs w:val="21"/>
        </w:rPr>
      </w:pPr>
      <w:r>
        <w:rPr>
          <w:rFonts w:ascii="宋体" w:hAnsi="宋体" w:eastAsia="宋体"/>
          <w:szCs w:val="21"/>
        </w:rPr>
        <w:t>符合</w:t>
      </w:r>
      <w:bookmarkStart w:id="36" w:name="_Hlk64377755"/>
      <w:r>
        <w:rPr>
          <w:rFonts w:hint="eastAsia" w:ascii="Times New Roman" w:hAnsi="Times New Roman" w:eastAsia="宋体" w:cs="Times New Roman"/>
          <w:szCs w:val="21"/>
        </w:rPr>
        <w:t>T</w:t>
      </w:r>
      <w:r>
        <w:rPr>
          <w:rFonts w:ascii="Times New Roman" w:hAnsi="Times New Roman" w:eastAsia="宋体" w:cs="Times New Roman"/>
          <w:szCs w:val="21"/>
        </w:rPr>
        <w:t>/CCOA 7</w:t>
      </w:r>
      <w:bookmarkEnd w:id="36"/>
      <w:r>
        <w:rPr>
          <w:rFonts w:hint="eastAsia" w:ascii="宋体" w:hAnsi="宋体" w:eastAsia="宋体"/>
          <w:szCs w:val="21"/>
        </w:rPr>
        <w:t>中质量指标和微生物限量</w:t>
      </w:r>
      <w:r>
        <w:rPr>
          <w:rFonts w:ascii="宋体" w:hAnsi="宋体" w:eastAsia="宋体"/>
          <w:szCs w:val="21"/>
        </w:rPr>
        <w:t>要求的小麦粉。</w:t>
      </w:r>
    </w:p>
    <w:p>
      <w:pPr>
        <w:pStyle w:val="26"/>
        <w:numPr>
          <w:ilvl w:val="0"/>
          <w:numId w:val="1"/>
        </w:numPr>
        <w:spacing w:before="156" w:beforeLines="50" w:after="156" w:afterLines="50" w:line="360" w:lineRule="auto"/>
        <w:ind w:left="0"/>
        <w:rPr>
          <w:rFonts w:ascii="Times New Roman"/>
        </w:rPr>
      </w:pPr>
      <w:bookmarkStart w:id="37" w:name="_Toc15220648"/>
      <w:bookmarkStart w:id="38" w:name="_Toc27573331"/>
      <w:r>
        <w:rPr>
          <w:rFonts w:hint="eastAsia" w:ascii="Times New Roman"/>
        </w:rPr>
        <w:t>生产</w:t>
      </w:r>
      <w:r>
        <w:rPr>
          <w:rFonts w:ascii="Times New Roman"/>
        </w:rPr>
        <w:t>要求</w:t>
      </w:r>
      <w:bookmarkEnd w:id="37"/>
      <w:bookmarkEnd w:id="38"/>
      <w:bookmarkStart w:id="39" w:name="pindex79"/>
      <w:bookmarkEnd w:id="39"/>
    </w:p>
    <w:p>
      <w:pPr>
        <w:pStyle w:val="33"/>
        <w:numPr>
          <w:ilvl w:val="1"/>
          <w:numId w:val="1"/>
        </w:numPr>
        <w:spacing w:line="300" w:lineRule="auto"/>
        <w:ind w:left="0"/>
        <w:rPr>
          <w:rFonts w:ascii="Times New Roman"/>
        </w:rPr>
      </w:pPr>
      <w:r>
        <w:rPr>
          <w:rFonts w:hint="eastAsia" w:ascii="Times New Roman"/>
        </w:rPr>
        <w:t>原粮要求</w:t>
      </w:r>
      <w:bookmarkStart w:id="40" w:name="pindex80"/>
      <w:bookmarkEnd w:id="40"/>
    </w:p>
    <w:p>
      <w:pPr>
        <w:pStyle w:val="35"/>
        <w:numPr>
          <w:ilvl w:val="2"/>
          <w:numId w:val="1"/>
        </w:numPr>
        <w:spacing w:before="156" w:after="156"/>
        <w:ind w:left="0"/>
        <w:rPr>
          <w:rFonts w:hAnsi="黑体"/>
        </w:rPr>
      </w:pPr>
      <w:r>
        <w:rPr>
          <w:rFonts w:hint="eastAsia" w:hAnsi="黑体"/>
        </w:rPr>
        <w:t>小麦要求</w:t>
      </w:r>
    </w:p>
    <w:p>
      <w:pPr>
        <w:pStyle w:val="15"/>
        <w:numPr>
          <w:ilvl w:val="0"/>
          <w:numId w:val="2"/>
        </w:numPr>
        <w:ind w:firstLineChars="0"/>
        <w:rPr>
          <w:rFonts w:ascii="Times New Roman" w:hAnsi="Times New Roman" w:eastAsia="宋体" w:cs="Times New Roman"/>
          <w:szCs w:val="21"/>
        </w:rPr>
      </w:pPr>
      <w:r>
        <w:rPr>
          <w:rFonts w:hint="eastAsia" w:ascii="Times New Roman" w:hAnsi="Times New Roman" w:eastAsia="宋体" w:cs="Times New Roman"/>
          <w:szCs w:val="21"/>
        </w:rPr>
        <w:t>应符合GB</w:t>
      </w:r>
      <w:r>
        <w:rPr>
          <w:rFonts w:ascii="Times New Roman" w:hAnsi="Times New Roman" w:eastAsia="宋体" w:cs="Times New Roman"/>
          <w:szCs w:val="21"/>
        </w:rPr>
        <w:t xml:space="preserve"> 13122-1991</w:t>
      </w:r>
      <w:r>
        <w:rPr>
          <w:rFonts w:hint="eastAsia" w:ascii="Times New Roman" w:hAnsi="Times New Roman" w:eastAsia="宋体" w:cs="Times New Roman"/>
          <w:szCs w:val="21"/>
        </w:rPr>
        <w:t>中对于小麦原粮采购、运输、贮藏的卫生要求；</w:t>
      </w:r>
    </w:p>
    <w:p>
      <w:pPr>
        <w:pStyle w:val="15"/>
        <w:numPr>
          <w:ilvl w:val="0"/>
          <w:numId w:val="2"/>
        </w:numPr>
        <w:ind w:firstLineChars="0"/>
        <w:rPr>
          <w:rFonts w:ascii="Times New Roman" w:hAnsi="Times New Roman" w:eastAsia="宋体" w:cs="Times New Roman"/>
          <w:szCs w:val="21"/>
        </w:rPr>
      </w:pPr>
      <w:r>
        <w:rPr>
          <w:rFonts w:hint="eastAsia" w:ascii="Times New Roman" w:hAnsi="Times New Roman" w:eastAsia="宋体" w:cs="Times New Roman"/>
          <w:szCs w:val="21"/>
        </w:rPr>
        <w:t>应符合</w:t>
      </w:r>
      <w:r>
        <w:rPr>
          <w:rFonts w:ascii="Times New Roman" w:hAnsi="Times New Roman" w:eastAsia="宋体" w:cs="Times New Roman"/>
          <w:szCs w:val="21"/>
        </w:rPr>
        <w:t>GB 2715</w:t>
      </w:r>
      <w:r>
        <w:rPr>
          <w:rFonts w:hint="eastAsia" w:ascii="Times New Roman" w:hAnsi="Times New Roman" w:eastAsia="宋体" w:cs="Times New Roman"/>
          <w:szCs w:val="21"/>
        </w:rPr>
        <w:t>对于热损伤粒、霉变粒、麦角、毒麦的限量</w:t>
      </w:r>
      <w:r>
        <w:rPr>
          <w:rFonts w:ascii="Times New Roman" w:hAnsi="Times New Roman" w:eastAsia="宋体" w:cs="Times New Roman"/>
          <w:szCs w:val="21"/>
        </w:rPr>
        <w:t>规定</w:t>
      </w:r>
      <w:r>
        <w:rPr>
          <w:rFonts w:hint="eastAsia" w:ascii="Times New Roman" w:hAnsi="Times New Roman" w:eastAsia="宋体" w:cs="Times New Roman"/>
          <w:szCs w:val="21"/>
        </w:rPr>
        <w:t>；</w:t>
      </w:r>
    </w:p>
    <w:p>
      <w:pPr>
        <w:pStyle w:val="15"/>
        <w:numPr>
          <w:ilvl w:val="0"/>
          <w:numId w:val="2"/>
        </w:numPr>
        <w:ind w:firstLineChars="0"/>
        <w:rPr>
          <w:rFonts w:ascii="Times New Roman" w:hAnsi="Times New Roman" w:eastAsia="宋体" w:cs="Times New Roman"/>
          <w:szCs w:val="21"/>
        </w:rPr>
      </w:pPr>
      <w:r>
        <w:rPr>
          <w:rFonts w:hint="eastAsia" w:ascii="Times New Roman" w:hAnsi="Times New Roman" w:eastAsia="宋体" w:cs="Times New Roman"/>
          <w:szCs w:val="21"/>
        </w:rPr>
        <w:t>应符合GB 1351对于不完善粒（虫蚀粒、病斑粒、破损粒、生芽粒和生霉粒）和杂质（无机杂质和有机杂质）的限量</w:t>
      </w:r>
      <w:r>
        <w:rPr>
          <w:rFonts w:ascii="Times New Roman" w:hAnsi="Times New Roman" w:eastAsia="宋体" w:cs="Times New Roman"/>
          <w:szCs w:val="21"/>
        </w:rPr>
        <w:t>规定</w:t>
      </w:r>
      <w:r>
        <w:rPr>
          <w:rFonts w:hint="eastAsia" w:ascii="Times New Roman" w:hAnsi="Times New Roman" w:eastAsia="宋体" w:cs="Times New Roman"/>
          <w:szCs w:val="21"/>
        </w:rPr>
        <w:t>；</w:t>
      </w:r>
    </w:p>
    <w:p>
      <w:pPr>
        <w:pStyle w:val="15"/>
        <w:numPr>
          <w:ilvl w:val="0"/>
          <w:numId w:val="2"/>
        </w:numPr>
        <w:ind w:firstLineChars="0"/>
        <w:rPr>
          <w:rFonts w:ascii="Times New Roman" w:hAnsi="Times New Roman" w:eastAsia="宋体" w:cs="Times New Roman"/>
          <w:szCs w:val="21"/>
        </w:rPr>
      </w:pPr>
      <w:r>
        <w:rPr>
          <w:rFonts w:hint="eastAsia" w:ascii="Times New Roman" w:hAnsi="Times New Roman" w:eastAsia="宋体" w:cs="Times New Roman"/>
          <w:szCs w:val="21"/>
        </w:rPr>
        <w:t>应在符合LS</w:t>
      </w:r>
      <w:r>
        <w:rPr>
          <w:rFonts w:ascii="Times New Roman" w:hAnsi="Times New Roman" w:eastAsia="宋体" w:cs="Times New Roman"/>
          <w:szCs w:val="21"/>
        </w:rPr>
        <w:t xml:space="preserve">/T </w:t>
      </w:r>
      <w:r>
        <w:rPr>
          <w:rFonts w:hint="eastAsia" w:ascii="Times New Roman" w:hAnsi="Times New Roman" w:eastAsia="宋体" w:cs="Times New Roman"/>
          <w:szCs w:val="21"/>
        </w:rPr>
        <w:t>3109对于质量指标要求的基础上，建议还应符合表1的要求。</w:t>
      </w:r>
    </w:p>
    <w:p>
      <w:pPr>
        <w:pStyle w:val="37"/>
        <w:tabs>
          <w:tab w:val="clear" w:pos="360"/>
        </w:tabs>
        <w:spacing w:before="0" w:beforeLines="0" w:after="0" w:afterLines="0" w:line="300" w:lineRule="auto"/>
        <w:ind w:left="420"/>
        <w:rPr>
          <w:rFonts w:ascii="Times New Roman"/>
        </w:rPr>
      </w:pPr>
      <w:r>
        <w:rPr>
          <w:rFonts w:hint="eastAsia" w:ascii="Times New Roman"/>
        </w:rPr>
        <w:t>表</w:t>
      </w:r>
      <w:r>
        <w:rPr>
          <w:rFonts w:ascii="Times New Roman"/>
        </w:rPr>
        <w:t xml:space="preserve">1 </w:t>
      </w:r>
      <w:r>
        <w:rPr>
          <w:rFonts w:hint="eastAsia" w:ascii="Times New Roman"/>
        </w:rPr>
        <w:t>小麦基本质量指标要求</w:t>
      </w:r>
    </w:p>
    <w:tbl>
      <w:tblPr>
        <w:tblStyle w:val="10"/>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276"/>
        <w:gridCol w:w="1413"/>
        <w:gridCol w:w="1276"/>
        <w:gridCol w:w="1417"/>
        <w:gridCol w:w="1691"/>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276"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杂质含量/(%)</w:t>
            </w:r>
          </w:p>
          <w:p>
            <w:pPr>
              <w:jc w:val="center"/>
              <w:rPr>
                <w:rFonts w:ascii="宋体" w:hAnsi="宋体" w:eastAsia="宋体" w:cs="Times New Roman"/>
                <w:kern w:val="0"/>
                <w:sz w:val="18"/>
                <w:szCs w:val="18"/>
              </w:rPr>
            </w:pPr>
            <w:r>
              <w:rPr>
                <w:rFonts w:ascii="宋体" w:hAnsi="宋体" w:eastAsia="宋体" w:cs="Times New Roman"/>
                <w:kern w:val="0"/>
                <w:sz w:val="18"/>
                <w:szCs w:val="18"/>
              </w:rPr>
              <w:t>≤</w:t>
            </w:r>
          </w:p>
        </w:tc>
        <w:tc>
          <w:tcPr>
            <w:tcW w:w="1413"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不完善粒含量/(%)</w:t>
            </w:r>
            <w:r>
              <w:rPr>
                <w:rFonts w:ascii="宋体" w:hAnsi="宋体" w:eastAsia="宋体" w:cs="Times New Roman"/>
                <w:kern w:val="0"/>
                <w:sz w:val="18"/>
                <w:szCs w:val="18"/>
              </w:rPr>
              <w:t>≤</w:t>
            </w:r>
          </w:p>
        </w:tc>
        <w:tc>
          <w:tcPr>
            <w:tcW w:w="1276"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水分含量/(%)</w:t>
            </w:r>
            <w:r>
              <w:rPr>
                <w:rFonts w:ascii="宋体" w:hAnsi="宋体" w:eastAsia="宋体" w:cs="Times New Roman"/>
                <w:kern w:val="0"/>
                <w:sz w:val="18"/>
                <w:szCs w:val="18"/>
              </w:rPr>
              <w:t>≤</w:t>
            </w:r>
          </w:p>
        </w:tc>
        <w:tc>
          <w:tcPr>
            <w:tcW w:w="1417"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降落数值/(s)</w:t>
            </w:r>
          </w:p>
          <w:p>
            <w:pPr>
              <w:jc w:val="center"/>
              <w:rPr>
                <w:rFonts w:ascii="宋体" w:hAnsi="宋体" w:eastAsia="宋体" w:cs="Times New Roman"/>
                <w:kern w:val="0"/>
                <w:sz w:val="18"/>
                <w:szCs w:val="18"/>
              </w:rPr>
            </w:pPr>
            <w:r>
              <w:rPr>
                <w:rFonts w:ascii="宋体" w:hAnsi="宋体" w:eastAsia="宋体" w:cs="Times New Roman"/>
                <w:kern w:val="0"/>
                <w:sz w:val="18"/>
                <w:szCs w:val="18"/>
              </w:rPr>
              <w:t>≥</w:t>
            </w:r>
          </w:p>
        </w:tc>
        <w:tc>
          <w:tcPr>
            <w:tcW w:w="1691" w:type="dxa"/>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脱氧雪腐镰刀菌烯醇/（µg/kg）</w:t>
            </w:r>
            <w:r>
              <w:rPr>
                <w:rFonts w:hint="eastAsia" w:ascii="宋体" w:hAnsi="宋体" w:eastAsia="宋体" w:cs="Times New Roman"/>
                <w:kern w:val="0"/>
                <w:sz w:val="18"/>
                <w:szCs w:val="18"/>
              </w:rPr>
              <w:t>≤</w:t>
            </w:r>
          </w:p>
        </w:tc>
        <w:tc>
          <w:tcPr>
            <w:tcW w:w="1286"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菌落总数/(CFU/g)</w:t>
            </w:r>
            <w:r>
              <w:rPr>
                <w:rFonts w:ascii="Times New Roman" w:hAnsi="Times New Roman" w:eastAsia="宋体" w:cs="Times New Roman"/>
              </w:rPr>
              <w:t xml:space="preserve"> </w:t>
            </w: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指标要求</w:t>
            </w:r>
          </w:p>
        </w:tc>
        <w:tc>
          <w:tcPr>
            <w:tcW w:w="1276"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413"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w:t>
            </w:r>
          </w:p>
        </w:tc>
        <w:tc>
          <w:tcPr>
            <w:tcW w:w="1276"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12.5</w:t>
            </w:r>
          </w:p>
        </w:tc>
        <w:tc>
          <w:tcPr>
            <w:tcW w:w="1417"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w:t>
            </w:r>
          </w:p>
        </w:tc>
        <w:tc>
          <w:tcPr>
            <w:tcW w:w="1691" w:type="dxa"/>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800</w:t>
            </w:r>
          </w:p>
        </w:tc>
        <w:tc>
          <w:tcPr>
            <w:tcW w:w="1286"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10 000</w:t>
            </w:r>
          </w:p>
        </w:tc>
      </w:tr>
    </w:tbl>
    <w:p>
      <w:pPr>
        <w:pStyle w:val="35"/>
        <w:numPr>
          <w:ilvl w:val="2"/>
          <w:numId w:val="1"/>
        </w:numPr>
        <w:spacing w:before="156" w:after="156"/>
        <w:ind w:left="0"/>
        <w:rPr>
          <w:rFonts w:hAnsi="黑体"/>
        </w:rPr>
      </w:pPr>
      <w:r>
        <w:rPr>
          <w:rFonts w:hint="eastAsia" w:hAnsi="黑体"/>
        </w:rPr>
        <w:t>小麦处理</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小麦加工前处理工序前建议对原粮小麦进行降菌处理，以降低微生物含量。</w:t>
      </w:r>
    </w:p>
    <w:p>
      <w:pPr>
        <w:pStyle w:val="33"/>
        <w:numPr>
          <w:ilvl w:val="1"/>
          <w:numId w:val="1"/>
        </w:numPr>
        <w:spacing w:line="300" w:lineRule="auto"/>
        <w:ind w:left="0"/>
        <w:rPr>
          <w:rFonts w:ascii="Times New Roman"/>
        </w:rPr>
      </w:pPr>
      <w:r>
        <w:rPr>
          <w:rFonts w:hint="eastAsia" w:ascii="Times New Roman"/>
        </w:rPr>
        <w:t>环境要求</w:t>
      </w:r>
      <w:bookmarkStart w:id="41" w:name="pindex87"/>
      <w:bookmarkEnd w:id="41"/>
    </w:p>
    <w:p>
      <w:pPr>
        <w:pStyle w:val="35"/>
        <w:numPr>
          <w:ilvl w:val="2"/>
          <w:numId w:val="1"/>
        </w:numPr>
        <w:spacing w:before="156" w:after="156"/>
        <w:ind w:left="0"/>
        <w:rPr>
          <w:rFonts w:hAnsi="黑体"/>
        </w:rPr>
      </w:pPr>
      <w:r>
        <w:rPr>
          <w:rFonts w:hint="eastAsia" w:hAnsi="黑体"/>
        </w:rPr>
        <w:t>厂区环境要求</w:t>
      </w:r>
    </w:p>
    <w:p>
      <w:pPr>
        <w:pStyle w:val="15"/>
        <w:numPr>
          <w:ilvl w:val="0"/>
          <w:numId w:val="3"/>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加工厂区所处空气环境不低于</w:t>
      </w:r>
      <w:r>
        <w:rPr>
          <w:rFonts w:ascii="Times New Roman" w:hAnsi="Times New Roman" w:eastAsia="宋体" w:cs="Times New Roman"/>
          <w:szCs w:val="21"/>
        </w:rPr>
        <w:t>GB 3095中规定的</w:t>
      </w:r>
      <w:r>
        <w:rPr>
          <w:rFonts w:hint="eastAsia" w:ascii="Times New Roman" w:hAnsi="Times New Roman" w:eastAsia="宋体" w:cs="Times New Roman"/>
          <w:szCs w:val="21"/>
        </w:rPr>
        <w:t>三</w:t>
      </w:r>
      <w:r>
        <w:rPr>
          <w:rFonts w:ascii="Times New Roman" w:hAnsi="Times New Roman" w:eastAsia="宋体" w:cs="Times New Roman"/>
          <w:szCs w:val="21"/>
        </w:rPr>
        <w:t>级标准要求</w:t>
      </w:r>
      <w:r>
        <w:rPr>
          <w:rFonts w:hint="eastAsia" w:ascii="Times New Roman" w:hAnsi="Times New Roman" w:eastAsia="宋体" w:cs="Times New Roman"/>
          <w:szCs w:val="21"/>
        </w:rPr>
        <w:t>；</w:t>
      </w:r>
    </w:p>
    <w:p>
      <w:pPr>
        <w:pStyle w:val="15"/>
        <w:numPr>
          <w:ilvl w:val="0"/>
          <w:numId w:val="3"/>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加工厂区应当清洁、平整、无积水；厂区的道路应用水泥、沥青或砖石等硬质材料铺成；</w:t>
      </w:r>
    </w:p>
    <w:p>
      <w:pPr>
        <w:pStyle w:val="15"/>
        <w:numPr>
          <w:ilvl w:val="0"/>
          <w:numId w:val="3"/>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加工厂区厂房和设备布局应与工艺流程和生产规模相适应，</w:t>
      </w:r>
      <w:r>
        <w:rPr>
          <w:rFonts w:ascii="Times New Roman" w:hAnsi="Times New Roman" w:eastAsia="宋体" w:cs="Times New Roman"/>
          <w:szCs w:val="21"/>
        </w:rPr>
        <w:t>能满足生产工艺、质量和卫生的要求。</w:t>
      </w:r>
    </w:p>
    <w:p>
      <w:pPr>
        <w:pStyle w:val="35"/>
        <w:numPr>
          <w:ilvl w:val="2"/>
          <w:numId w:val="1"/>
        </w:numPr>
        <w:spacing w:before="156" w:after="156"/>
        <w:ind w:left="0"/>
        <w:rPr>
          <w:rFonts w:hAnsi="黑体"/>
        </w:rPr>
      </w:pPr>
      <w:r>
        <w:rPr>
          <w:rFonts w:hint="eastAsia" w:hAnsi="黑体"/>
        </w:rPr>
        <w:t>车间环境要求</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微生物污染与环境温湿度密切相关，低菌小麦粉加工车间内的温度和湿度应根据工艺要求进行合理设计和建设。</w:t>
      </w:r>
    </w:p>
    <w:p>
      <w:pPr>
        <w:pStyle w:val="35"/>
        <w:numPr>
          <w:ilvl w:val="2"/>
          <w:numId w:val="1"/>
        </w:numPr>
        <w:spacing w:before="156" w:after="156"/>
        <w:ind w:left="0"/>
        <w:rPr>
          <w:rFonts w:hAnsi="黑体"/>
        </w:rPr>
      </w:pPr>
      <w:r>
        <w:rPr>
          <w:rFonts w:hint="eastAsia" w:hAnsi="黑体"/>
        </w:rPr>
        <w:t>空气净化要求</w:t>
      </w:r>
      <w:bookmarkStart w:id="42" w:name="pindex83"/>
      <w:bookmarkEnd w:id="42"/>
    </w:p>
    <w:p>
      <w:pPr>
        <w:pStyle w:val="15"/>
        <w:numPr>
          <w:ilvl w:val="0"/>
          <w:numId w:val="4"/>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空气过滤是最有效、安全、经济和方便的除尘、除菌手段，采用合适的过滤器能保证送风气流达到要求的尘埃浓度和细度，以及合理的运行费用；</w:t>
      </w:r>
    </w:p>
    <w:p>
      <w:pPr>
        <w:pStyle w:val="15"/>
        <w:numPr>
          <w:ilvl w:val="0"/>
          <w:numId w:val="4"/>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空气净化系统送风宜设置三级过滤，其位置应为新风口、风机正压段、送风口；</w:t>
      </w:r>
    </w:p>
    <w:p>
      <w:pPr>
        <w:pStyle w:val="15"/>
        <w:numPr>
          <w:ilvl w:val="0"/>
          <w:numId w:val="4"/>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风口和风管应方便清洗，易堵和清洗频繁的管段可采用纤维织物风管；</w:t>
      </w:r>
    </w:p>
    <w:p>
      <w:pPr>
        <w:pStyle w:val="15"/>
        <w:numPr>
          <w:ilvl w:val="0"/>
          <w:numId w:val="4"/>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宜采用局部空气净化方法（</w:t>
      </w:r>
      <w:r>
        <w:rPr>
          <w:rFonts w:ascii="Times New Roman" w:hAnsi="Times New Roman" w:eastAsia="宋体" w:cs="Times New Roman"/>
          <w:szCs w:val="21"/>
        </w:rPr>
        <w:t>含设备自</w:t>
      </w:r>
      <w:r>
        <w:rPr>
          <w:rFonts w:hint="eastAsia" w:ascii="Times New Roman" w:hAnsi="Times New Roman" w:eastAsia="宋体" w:cs="Times New Roman"/>
          <w:szCs w:val="21"/>
        </w:rPr>
        <w:t>身所带的净化措施）</w:t>
      </w:r>
      <w:r>
        <w:rPr>
          <w:rFonts w:ascii="Times New Roman" w:hAnsi="Times New Roman" w:eastAsia="宋体" w:cs="Times New Roman"/>
          <w:szCs w:val="21"/>
        </w:rPr>
        <w:t>以及符合卫生标准的消毒灭菌措施</w:t>
      </w:r>
      <w:r>
        <w:rPr>
          <w:rFonts w:hint="eastAsia" w:ascii="Times New Roman" w:hAnsi="Times New Roman" w:eastAsia="宋体" w:cs="Times New Roman"/>
          <w:szCs w:val="21"/>
        </w:rPr>
        <w:t>。</w:t>
      </w:r>
    </w:p>
    <w:p>
      <w:pPr>
        <w:pStyle w:val="35"/>
        <w:numPr>
          <w:ilvl w:val="2"/>
          <w:numId w:val="1"/>
        </w:numPr>
        <w:spacing w:before="156" w:after="156"/>
        <w:ind w:left="0"/>
        <w:rPr>
          <w:rFonts w:hAnsi="黑体"/>
        </w:rPr>
      </w:pPr>
      <w:r>
        <w:rPr>
          <w:rFonts w:hint="eastAsia" w:hAnsi="黑体"/>
        </w:rPr>
        <w:t>能源要求</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使用清洁能源，燃煤含硫量符合当地环保要求。</w:t>
      </w:r>
    </w:p>
    <w:p>
      <w:pPr>
        <w:pStyle w:val="33"/>
        <w:numPr>
          <w:ilvl w:val="1"/>
          <w:numId w:val="1"/>
        </w:numPr>
        <w:spacing w:line="300" w:lineRule="auto"/>
        <w:ind w:left="0"/>
        <w:rPr>
          <w:rFonts w:ascii="Times New Roman"/>
        </w:rPr>
      </w:pPr>
      <w:r>
        <w:rPr>
          <w:rFonts w:hint="eastAsia" w:ascii="Times New Roman"/>
        </w:rPr>
        <w:t>毛麦清理要求</w:t>
      </w:r>
    </w:p>
    <w:p>
      <w:pPr>
        <w:pStyle w:val="35"/>
        <w:numPr>
          <w:ilvl w:val="2"/>
          <w:numId w:val="1"/>
        </w:numPr>
        <w:spacing w:before="156" w:after="156"/>
        <w:ind w:left="0"/>
        <w:rPr>
          <w:rFonts w:hAnsi="黑体"/>
        </w:rPr>
      </w:pPr>
      <w:r>
        <w:rPr>
          <w:rFonts w:hint="eastAsia" w:hAnsi="黑体"/>
        </w:rPr>
        <w:t>清理过程要求</w:t>
      </w:r>
    </w:p>
    <w:p>
      <w:pPr>
        <w:pStyle w:val="15"/>
        <w:numPr>
          <w:ilvl w:val="0"/>
          <w:numId w:val="5"/>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毛麦应加强比重分级，分出轻、重质小麦，降低入磨小麦带菌量；</w:t>
      </w:r>
    </w:p>
    <w:p>
      <w:pPr>
        <w:pStyle w:val="15"/>
        <w:numPr>
          <w:ilvl w:val="0"/>
          <w:numId w:val="5"/>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采用筛理、磁选、风选、去石等去除麦壳、瘪麦、石子、泥块、荞子、磁性金属、异色粒等杂质；</w:t>
      </w:r>
    </w:p>
    <w:p>
      <w:pPr>
        <w:pStyle w:val="15"/>
        <w:numPr>
          <w:ilvl w:val="0"/>
          <w:numId w:val="5"/>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采用表面处理清除粘附在表面、麦沟中的泥砂、尘土、并肩泥块、煤渣、有害微生物等污染；</w:t>
      </w:r>
    </w:p>
    <w:p>
      <w:pPr>
        <w:pStyle w:val="15"/>
        <w:numPr>
          <w:ilvl w:val="0"/>
          <w:numId w:val="5"/>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建议进行毛麦的二次筛理。</w:t>
      </w:r>
    </w:p>
    <w:p>
      <w:pPr>
        <w:pStyle w:val="35"/>
        <w:numPr>
          <w:ilvl w:val="2"/>
          <w:numId w:val="1"/>
        </w:numPr>
        <w:spacing w:before="156" w:after="156"/>
        <w:ind w:left="0"/>
        <w:rPr>
          <w:rFonts w:hAnsi="黑体"/>
        </w:rPr>
      </w:pPr>
      <w:r>
        <w:rPr>
          <w:rFonts w:hint="eastAsia" w:hAnsi="黑体"/>
        </w:rPr>
        <w:t>微生物限量要求</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经毛麦清理后，微生物限量应符合表2的要求。</w:t>
      </w:r>
    </w:p>
    <w:p>
      <w:pPr>
        <w:pStyle w:val="37"/>
        <w:tabs>
          <w:tab w:val="clear" w:pos="360"/>
        </w:tabs>
        <w:spacing w:before="0" w:beforeLines="0" w:after="0" w:afterLines="0" w:line="300" w:lineRule="auto"/>
        <w:ind w:left="420"/>
        <w:rPr>
          <w:rFonts w:ascii="Times New Roman"/>
        </w:rPr>
      </w:pPr>
      <w:r>
        <w:rPr>
          <w:rFonts w:hint="eastAsia" w:ascii="Times New Roman"/>
        </w:rPr>
        <w:t>表2</w:t>
      </w:r>
      <w:r>
        <w:rPr>
          <w:rFonts w:ascii="Times New Roman"/>
        </w:rPr>
        <w:t xml:space="preserve"> </w:t>
      </w:r>
      <w:r>
        <w:rPr>
          <w:rFonts w:hint="eastAsia" w:ascii="Times New Roman"/>
        </w:rPr>
        <w:t>清理后</w:t>
      </w:r>
      <w:r>
        <w:rPr>
          <w:rFonts w:ascii="Times New Roman"/>
        </w:rPr>
        <w:t>微生物限量</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7"/>
        <w:gridCol w:w="2693"/>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7" w:type="dxa"/>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项  目</w:t>
            </w:r>
          </w:p>
        </w:tc>
        <w:tc>
          <w:tcPr>
            <w:tcW w:w="2693" w:type="dxa"/>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指  标</w:t>
            </w:r>
          </w:p>
        </w:tc>
        <w:tc>
          <w:tcPr>
            <w:tcW w:w="1992" w:type="dxa"/>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7" w:type="dxa"/>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菌落总数/(CFU/g)              </w:t>
            </w:r>
            <w:r>
              <w:rPr>
                <w:rFonts w:ascii="宋体" w:hAnsi="宋体" w:eastAsia="宋体" w:cs="Times New Roman"/>
                <w:sz w:val="18"/>
                <w:szCs w:val="18"/>
              </w:rPr>
              <w:t xml:space="preserve">  ≤</w:t>
            </w:r>
          </w:p>
        </w:tc>
        <w:tc>
          <w:tcPr>
            <w:tcW w:w="2693" w:type="dxa"/>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3 000</w:t>
            </w:r>
          </w:p>
        </w:tc>
        <w:tc>
          <w:tcPr>
            <w:tcW w:w="1992" w:type="dxa"/>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GB 4789.2</w:t>
            </w:r>
          </w:p>
        </w:tc>
      </w:tr>
    </w:tbl>
    <w:p>
      <w:pPr>
        <w:pStyle w:val="33"/>
        <w:numPr>
          <w:ilvl w:val="1"/>
          <w:numId w:val="1"/>
        </w:numPr>
        <w:spacing w:line="300" w:lineRule="auto"/>
        <w:ind w:left="0"/>
        <w:rPr>
          <w:rFonts w:ascii="Times New Roman"/>
        </w:rPr>
      </w:pPr>
      <w:r>
        <w:rPr>
          <w:rFonts w:hint="eastAsia" w:ascii="Times New Roman"/>
        </w:rPr>
        <w:t>润麦要求</w:t>
      </w:r>
    </w:p>
    <w:p>
      <w:pPr>
        <w:pStyle w:val="35"/>
        <w:numPr>
          <w:ilvl w:val="2"/>
          <w:numId w:val="1"/>
        </w:numPr>
        <w:spacing w:before="156" w:after="156"/>
        <w:ind w:left="0"/>
        <w:rPr>
          <w:rFonts w:hAnsi="黑体"/>
        </w:rPr>
      </w:pPr>
      <w:r>
        <w:rPr>
          <w:rFonts w:hint="eastAsia" w:hAnsi="黑体"/>
        </w:rPr>
        <w:t>润麦过程要求</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应在达到调节小麦水分目的的基础上尽量减少润麦时间，润麦后，小麦微生物限量应符合表3的要求。</w:t>
      </w:r>
    </w:p>
    <w:p>
      <w:pPr>
        <w:pStyle w:val="37"/>
        <w:tabs>
          <w:tab w:val="clear" w:pos="360"/>
        </w:tabs>
        <w:spacing w:before="0" w:beforeLines="0" w:after="0" w:afterLines="0" w:line="300" w:lineRule="auto"/>
        <w:ind w:left="420"/>
        <w:rPr>
          <w:rFonts w:ascii="Times New Roman"/>
        </w:rPr>
      </w:pPr>
      <w:r>
        <w:rPr>
          <w:rFonts w:hint="eastAsia" w:ascii="Times New Roman"/>
        </w:rPr>
        <w:t>表3</w:t>
      </w:r>
      <w:r>
        <w:rPr>
          <w:rFonts w:ascii="Times New Roman"/>
        </w:rPr>
        <w:t xml:space="preserve"> </w:t>
      </w:r>
      <w:r>
        <w:rPr>
          <w:rFonts w:hint="eastAsia" w:ascii="Times New Roman"/>
        </w:rPr>
        <w:t>润麦后</w:t>
      </w:r>
      <w:r>
        <w:rPr>
          <w:rFonts w:ascii="Times New Roman"/>
        </w:rPr>
        <w:t>微生物限量</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7"/>
        <w:gridCol w:w="2693"/>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7"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项  目</w:t>
            </w:r>
          </w:p>
        </w:tc>
        <w:tc>
          <w:tcPr>
            <w:tcW w:w="2693"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指  标</w:t>
            </w:r>
          </w:p>
        </w:tc>
        <w:tc>
          <w:tcPr>
            <w:tcW w:w="1992"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7"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 xml:space="preserve">菌落总数/(CFU/g) </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 xml:space="preserve">  </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 xml:space="preserve">   </w:t>
            </w:r>
            <w:r>
              <w:rPr>
                <w:rFonts w:ascii="宋体" w:hAnsi="宋体" w:eastAsia="宋体" w:cs="Times New Roman"/>
                <w:sz w:val="18"/>
                <w:szCs w:val="21"/>
              </w:rPr>
              <w:t>≤</w:t>
            </w:r>
          </w:p>
        </w:tc>
        <w:tc>
          <w:tcPr>
            <w:tcW w:w="2693" w:type="dxa"/>
            <w:shd w:val="clear" w:color="auto" w:fill="auto"/>
          </w:tcPr>
          <w:p>
            <w:pPr>
              <w:spacing w:line="30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10</w:t>
            </w:r>
            <w:r>
              <w:rPr>
                <w:rFonts w:ascii="Times New Roman" w:hAnsi="Times New Roman" w:eastAsia="宋体" w:cs="Times New Roman"/>
                <w:sz w:val="18"/>
                <w:szCs w:val="21"/>
              </w:rPr>
              <w:t xml:space="preserve"> </w:t>
            </w:r>
            <w:r>
              <w:rPr>
                <w:rFonts w:hint="eastAsia" w:ascii="Times New Roman" w:hAnsi="Times New Roman" w:eastAsia="宋体" w:cs="Times New Roman"/>
                <w:sz w:val="18"/>
                <w:szCs w:val="21"/>
              </w:rPr>
              <w:t>000</w:t>
            </w:r>
          </w:p>
        </w:tc>
        <w:tc>
          <w:tcPr>
            <w:tcW w:w="1992"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GB 4789.2</w:t>
            </w:r>
          </w:p>
        </w:tc>
      </w:tr>
    </w:tbl>
    <w:p>
      <w:pPr>
        <w:pStyle w:val="35"/>
        <w:numPr>
          <w:ilvl w:val="2"/>
          <w:numId w:val="1"/>
        </w:numPr>
        <w:spacing w:before="156" w:after="156"/>
        <w:ind w:left="0"/>
        <w:rPr>
          <w:rFonts w:hAnsi="黑体"/>
        </w:rPr>
      </w:pPr>
      <w:r>
        <w:rPr>
          <w:rFonts w:hint="eastAsia" w:hAnsi="黑体"/>
        </w:rPr>
        <w:t>润麦用水要求</w:t>
      </w:r>
    </w:p>
    <w:p>
      <w:pPr>
        <w:pStyle w:val="15"/>
        <w:numPr>
          <w:ilvl w:val="0"/>
          <w:numId w:val="6"/>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润麦用水的质量会影响小麦籽粒润麦后的微生物含量，进一步影响小麦粉的微生物指标，因此该工艺用水要求符合洁净用水的要求；</w:t>
      </w:r>
    </w:p>
    <w:p>
      <w:pPr>
        <w:pStyle w:val="15"/>
        <w:numPr>
          <w:ilvl w:val="0"/>
          <w:numId w:val="6"/>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润麦用水应对水中电解质、细菌、微粒、有机物及溶解氧等有严格要求，除了严格的润麦水制造过程外，润麦水输送管道的防腐管材选择和管网设计是保证使用点水质的关键；</w:t>
      </w:r>
    </w:p>
    <w:p>
      <w:pPr>
        <w:pStyle w:val="15"/>
        <w:numPr>
          <w:ilvl w:val="0"/>
          <w:numId w:val="6"/>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润麦用水应采用低菌或无菌水等净化水。</w:t>
      </w:r>
    </w:p>
    <w:p>
      <w:pPr>
        <w:pStyle w:val="35"/>
        <w:numPr>
          <w:ilvl w:val="2"/>
          <w:numId w:val="1"/>
        </w:numPr>
        <w:spacing w:before="156" w:after="156"/>
        <w:ind w:left="0"/>
        <w:rPr>
          <w:rFonts w:hAnsi="黑体"/>
        </w:rPr>
      </w:pPr>
      <w:r>
        <w:rPr>
          <w:rFonts w:hint="eastAsia" w:hAnsi="黑体"/>
        </w:rPr>
        <w:t>润麦方式要求</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生产低菌小麦粉</w:t>
      </w:r>
      <w:r>
        <w:rPr>
          <w:rFonts w:hint="eastAsia" w:ascii="Times New Roman" w:hAnsi="Times New Roman" w:eastAsia="宋体" w:cs="Times New Roman"/>
          <w:szCs w:val="21"/>
        </w:rPr>
        <w:t>所采用的润麦方式应显著</w:t>
      </w:r>
      <w:r>
        <w:rPr>
          <w:rFonts w:ascii="Times New Roman" w:hAnsi="Times New Roman" w:eastAsia="宋体" w:cs="Times New Roman"/>
          <w:szCs w:val="21"/>
        </w:rPr>
        <w:t>缩短润麦时间</w:t>
      </w:r>
      <w:r>
        <w:rPr>
          <w:rFonts w:hint="eastAsia" w:ascii="Times New Roman" w:hAnsi="Times New Roman" w:eastAsia="宋体" w:cs="Times New Roman"/>
          <w:szCs w:val="21"/>
        </w:rPr>
        <w:t>，</w:t>
      </w:r>
      <w:r>
        <w:rPr>
          <w:rFonts w:ascii="Times New Roman" w:hAnsi="Times New Roman" w:eastAsia="宋体" w:cs="Times New Roman"/>
          <w:szCs w:val="21"/>
        </w:rPr>
        <w:t>提高</w:t>
      </w:r>
      <w:r>
        <w:rPr>
          <w:rFonts w:hint="eastAsia" w:ascii="Times New Roman" w:hAnsi="Times New Roman" w:eastAsia="宋体" w:cs="Times New Roman"/>
          <w:szCs w:val="21"/>
        </w:rPr>
        <w:t>水分迁移</w:t>
      </w:r>
      <w:r>
        <w:rPr>
          <w:rFonts w:ascii="Times New Roman" w:hAnsi="Times New Roman" w:eastAsia="宋体" w:cs="Times New Roman"/>
          <w:szCs w:val="21"/>
        </w:rPr>
        <w:t>效率</w:t>
      </w:r>
      <w:r>
        <w:rPr>
          <w:rFonts w:hint="eastAsia" w:ascii="Times New Roman" w:hAnsi="Times New Roman" w:eastAsia="宋体" w:cs="Times New Roman"/>
          <w:szCs w:val="21"/>
        </w:rPr>
        <w:t>，减少</w:t>
      </w:r>
      <w:r>
        <w:rPr>
          <w:rFonts w:ascii="Times New Roman" w:hAnsi="Times New Roman" w:eastAsia="宋体" w:cs="Times New Roman"/>
          <w:szCs w:val="21"/>
        </w:rPr>
        <w:t>小麦表</w:t>
      </w:r>
      <w:r>
        <w:rPr>
          <w:rFonts w:hint="eastAsia" w:ascii="Times New Roman" w:hAnsi="Times New Roman" w:eastAsia="宋体" w:cs="Times New Roman"/>
          <w:szCs w:val="21"/>
        </w:rPr>
        <w:t>皮微生物的增殖。</w:t>
      </w:r>
    </w:p>
    <w:p>
      <w:pPr>
        <w:pStyle w:val="35"/>
        <w:numPr>
          <w:ilvl w:val="2"/>
          <w:numId w:val="1"/>
        </w:numPr>
        <w:spacing w:before="156" w:after="156"/>
        <w:ind w:left="0"/>
        <w:rPr>
          <w:rFonts w:hAnsi="黑体"/>
        </w:rPr>
      </w:pPr>
      <w:r>
        <w:rPr>
          <w:rFonts w:hint="eastAsia" w:hAnsi="黑体"/>
        </w:rPr>
        <w:t>润麦仓要求</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应加强润麦仓清理、管理，对润麦仓内部及底部的角度、光滑度重新设计，防止麦仓内沉积发霉。</w:t>
      </w:r>
    </w:p>
    <w:p>
      <w:pPr>
        <w:pStyle w:val="33"/>
        <w:numPr>
          <w:ilvl w:val="1"/>
          <w:numId w:val="1"/>
        </w:numPr>
        <w:spacing w:line="300" w:lineRule="auto"/>
        <w:ind w:left="0"/>
        <w:rPr>
          <w:rFonts w:ascii="Times New Roman"/>
        </w:rPr>
      </w:pPr>
      <w:r>
        <w:rPr>
          <w:rFonts w:hint="eastAsia" w:ascii="Times New Roman"/>
        </w:rPr>
        <w:t>净麦清理要求</w:t>
      </w:r>
    </w:p>
    <w:p>
      <w:pPr>
        <w:pStyle w:val="35"/>
        <w:numPr>
          <w:ilvl w:val="2"/>
          <w:numId w:val="1"/>
        </w:numPr>
        <w:spacing w:before="156" w:after="156"/>
        <w:ind w:left="0"/>
        <w:rPr>
          <w:rFonts w:hAnsi="黑体"/>
        </w:rPr>
      </w:pPr>
      <w:r>
        <w:rPr>
          <w:rFonts w:hint="eastAsia" w:hAnsi="黑体"/>
        </w:rPr>
        <w:t>净麦擦皮要求</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润麦后，可采用碾麦、搓擦、刷麦的方式除去部分小麦皮层，清除小麦表面和腹沟的灰尘，降低小麦中的微生物、毒素和农药含量，提高入磨小麦洁净度。</w:t>
      </w:r>
    </w:p>
    <w:p>
      <w:pPr>
        <w:pStyle w:val="35"/>
        <w:numPr>
          <w:ilvl w:val="2"/>
          <w:numId w:val="1"/>
        </w:numPr>
        <w:spacing w:before="156" w:after="156"/>
        <w:ind w:left="0"/>
        <w:rPr>
          <w:rFonts w:hAnsi="黑体"/>
        </w:rPr>
      </w:pPr>
      <w:r>
        <w:rPr>
          <w:rFonts w:hint="eastAsia" w:hAnsi="黑体"/>
        </w:rPr>
        <w:t>入磨净麦</w:t>
      </w:r>
      <w:r>
        <w:rPr>
          <w:rFonts w:hAnsi="黑体"/>
        </w:rPr>
        <w:t>要求</w:t>
      </w:r>
    </w:p>
    <w:p>
      <w:pPr>
        <w:pStyle w:val="15"/>
        <w:numPr>
          <w:ilvl w:val="0"/>
          <w:numId w:val="7"/>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沉芥杂质（包括有机杂质、无机杂质、有害杂质极易不属于食用的作物种子）不超过0.3%，砂石不超过0.02%；</w:t>
      </w:r>
    </w:p>
    <w:p>
      <w:pPr>
        <w:pStyle w:val="15"/>
        <w:numPr>
          <w:ilvl w:val="0"/>
          <w:numId w:val="7"/>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粮谷杂质（异品种粮粒以及小麦的干瘪粒、虫蚀粒、病斑粒、破损粒、生芽粒和生霉粒等）不超过0.5%；</w:t>
      </w:r>
    </w:p>
    <w:p>
      <w:pPr>
        <w:pStyle w:val="15"/>
        <w:numPr>
          <w:ilvl w:val="0"/>
          <w:numId w:val="7"/>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入磨前，小麦的微生物限量应符合表4的要求。</w:t>
      </w:r>
    </w:p>
    <w:p>
      <w:pPr>
        <w:pStyle w:val="37"/>
        <w:tabs>
          <w:tab w:val="clear" w:pos="360"/>
        </w:tabs>
        <w:spacing w:before="0" w:beforeLines="0" w:after="0" w:afterLines="0" w:line="300" w:lineRule="auto"/>
        <w:ind w:left="420"/>
        <w:rPr>
          <w:rFonts w:ascii="Times New Roman"/>
        </w:rPr>
      </w:pPr>
      <w:r>
        <w:rPr>
          <w:rFonts w:hint="eastAsia" w:ascii="Times New Roman"/>
        </w:rPr>
        <w:t>表4</w:t>
      </w:r>
      <w:r>
        <w:rPr>
          <w:rFonts w:ascii="Times New Roman"/>
        </w:rPr>
        <w:t xml:space="preserve"> </w:t>
      </w:r>
      <w:r>
        <w:rPr>
          <w:rFonts w:hint="eastAsia" w:ascii="Times New Roman"/>
        </w:rPr>
        <w:t>入磨前小麦</w:t>
      </w:r>
      <w:r>
        <w:rPr>
          <w:rFonts w:ascii="Times New Roman"/>
        </w:rPr>
        <w:t>微生物限量</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7"/>
        <w:gridCol w:w="2693"/>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7"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项  目</w:t>
            </w:r>
          </w:p>
        </w:tc>
        <w:tc>
          <w:tcPr>
            <w:tcW w:w="2693"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指  标</w:t>
            </w:r>
          </w:p>
        </w:tc>
        <w:tc>
          <w:tcPr>
            <w:tcW w:w="1992"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7"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 xml:space="preserve">菌落总数/(CFU/g) </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 xml:space="preserve">  </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 xml:space="preserve">   </w:t>
            </w:r>
            <w:r>
              <w:rPr>
                <w:rFonts w:ascii="宋体" w:hAnsi="宋体" w:eastAsia="宋体" w:cs="Times New Roman"/>
                <w:sz w:val="18"/>
                <w:szCs w:val="21"/>
              </w:rPr>
              <w:t>≤</w:t>
            </w:r>
          </w:p>
        </w:tc>
        <w:tc>
          <w:tcPr>
            <w:tcW w:w="2693" w:type="dxa"/>
            <w:shd w:val="clear" w:color="auto" w:fill="auto"/>
          </w:tcPr>
          <w:p>
            <w:pPr>
              <w:spacing w:line="30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5</w:t>
            </w:r>
            <w:r>
              <w:rPr>
                <w:rFonts w:ascii="Times New Roman" w:hAnsi="Times New Roman" w:eastAsia="宋体" w:cs="Times New Roman"/>
                <w:sz w:val="18"/>
                <w:szCs w:val="21"/>
              </w:rPr>
              <w:t xml:space="preserve"> </w:t>
            </w:r>
            <w:r>
              <w:rPr>
                <w:rFonts w:hint="eastAsia" w:ascii="Times New Roman" w:hAnsi="Times New Roman" w:eastAsia="宋体" w:cs="Times New Roman"/>
                <w:sz w:val="18"/>
                <w:szCs w:val="21"/>
              </w:rPr>
              <w:t>000</w:t>
            </w:r>
          </w:p>
        </w:tc>
        <w:tc>
          <w:tcPr>
            <w:tcW w:w="1992"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GB 4789.2</w:t>
            </w:r>
          </w:p>
        </w:tc>
      </w:tr>
    </w:tbl>
    <w:p>
      <w:pPr>
        <w:pStyle w:val="33"/>
        <w:numPr>
          <w:ilvl w:val="1"/>
          <w:numId w:val="1"/>
        </w:numPr>
        <w:spacing w:line="300" w:lineRule="auto"/>
        <w:ind w:left="0"/>
        <w:rPr>
          <w:rFonts w:ascii="Times New Roman"/>
        </w:rPr>
      </w:pPr>
      <w:r>
        <w:rPr>
          <w:rFonts w:hint="eastAsia" w:ascii="Times New Roman"/>
        </w:rPr>
        <w:t>制粉要求</w:t>
      </w:r>
    </w:p>
    <w:p>
      <w:pPr>
        <w:pStyle w:val="35"/>
        <w:numPr>
          <w:ilvl w:val="2"/>
          <w:numId w:val="1"/>
        </w:numPr>
        <w:spacing w:before="156" w:after="156"/>
        <w:ind w:left="0"/>
        <w:rPr>
          <w:rFonts w:hAnsi="黑体"/>
        </w:rPr>
      </w:pPr>
      <w:r>
        <w:rPr>
          <w:rFonts w:hint="eastAsia" w:hAnsi="黑体"/>
        </w:rPr>
        <w:t>制粉车间环境要求</w:t>
      </w:r>
    </w:p>
    <w:p>
      <w:pPr>
        <w:pStyle w:val="15"/>
        <w:numPr>
          <w:ilvl w:val="0"/>
          <w:numId w:val="8"/>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制粉车间建议应与清理间、粉仓打包间隔离开，尽量避免交叉污染；</w:t>
      </w:r>
    </w:p>
    <w:p>
      <w:pPr>
        <w:pStyle w:val="15"/>
        <w:numPr>
          <w:ilvl w:val="0"/>
          <w:numId w:val="8"/>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制粉车间窗户设计要尽量少，以尽量避免害虫和灰尘等污染车间；</w:t>
      </w:r>
    </w:p>
    <w:p>
      <w:pPr>
        <w:pStyle w:val="15"/>
        <w:numPr>
          <w:ilvl w:val="0"/>
          <w:numId w:val="8"/>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制粉车间增加通风系统，提供过滤的新鲜空气，保证正压环境；</w:t>
      </w:r>
    </w:p>
    <w:p>
      <w:pPr>
        <w:pStyle w:val="15"/>
        <w:numPr>
          <w:ilvl w:val="0"/>
          <w:numId w:val="8"/>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制粉车间的地面应平整，具有防潮性能，与墙角设计成圆滑的曲面结构，便于清扫，避免有害物质的积累；</w:t>
      </w:r>
    </w:p>
    <w:p>
      <w:pPr>
        <w:pStyle w:val="15"/>
        <w:numPr>
          <w:ilvl w:val="0"/>
          <w:numId w:val="8"/>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制粉车间应设计除尘系统，避免清扫时扬尘造成的二次污染</w:t>
      </w:r>
      <w:bookmarkStart w:id="43" w:name="_Hlk64474227"/>
      <w:r>
        <w:rPr>
          <w:rFonts w:hint="eastAsia" w:ascii="Times New Roman" w:hAnsi="Times New Roman" w:eastAsia="宋体" w:cs="Times New Roman"/>
          <w:szCs w:val="21"/>
        </w:rPr>
        <w:t>。</w:t>
      </w:r>
    </w:p>
    <w:bookmarkEnd w:id="43"/>
    <w:p>
      <w:pPr>
        <w:pStyle w:val="35"/>
        <w:numPr>
          <w:ilvl w:val="2"/>
          <w:numId w:val="1"/>
        </w:numPr>
        <w:spacing w:before="156" w:after="156"/>
        <w:ind w:left="0"/>
        <w:rPr>
          <w:rFonts w:hAnsi="黑体"/>
        </w:rPr>
      </w:pPr>
      <w:r>
        <w:rPr>
          <w:rFonts w:hint="eastAsia" w:hAnsi="黑体"/>
        </w:rPr>
        <w:t>制粉工艺要求</w:t>
      </w:r>
    </w:p>
    <w:p>
      <w:pPr>
        <w:pStyle w:val="15"/>
        <w:numPr>
          <w:ilvl w:val="0"/>
          <w:numId w:val="9"/>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应增加吸风风量或增加高压风网系统以加强磨粉机、清粉机、高方平筛和管道吸风；</w:t>
      </w:r>
    </w:p>
    <w:p>
      <w:pPr>
        <w:pStyle w:val="15"/>
        <w:numPr>
          <w:ilvl w:val="0"/>
          <w:numId w:val="9"/>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制粉过程应细化清粉系统，加强细化分级，提纯物料；</w:t>
      </w:r>
    </w:p>
    <w:p>
      <w:pPr>
        <w:pStyle w:val="15"/>
        <w:numPr>
          <w:ilvl w:val="0"/>
          <w:numId w:val="9"/>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低菌小麦粉应在独立的有完整分隔的生产区内生产。</w:t>
      </w:r>
    </w:p>
    <w:p>
      <w:pPr>
        <w:pStyle w:val="35"/>
        <w:numPr>
          <w:ilvl w:val="2"/>
          <w:numId w:val="1"/>
        </w:numPr>
        <w:spacing w:before="156" w:after="156"/>
        <w:ind w:left="0"/>
        <w:rPr>
          <w:rFonts w:hAnsi="黑体"/>
        </w:rPr>
      </w:pPr>
      <w:r>
        <w:rPr>
          <w:rFonts w:hint="eastAsia" w:hAnsi="黑体"/>
        </w:rPr>
        <w:t>制粉工艺优化</w:t>
      </w:r>
    </w:p>
    <w:p>
      <w:pPr>
        <w:pStyle w:val="15"/>
        <w:numPr>
          <w:ilvl w:val="0"/>
          <w:numId w:val="10"/>
        </w:numPr>
        <w:spacing w:before="120" w:after="120"/>
        <w:ind w:firstLineChars="0"/>
        <w:rPr>
          <w:rFonts w:ascii="Times New Roman" w:hAnsi="Times New Roman" w:eastAsia="宋体" w:cs="Times New Roman"/>
          <w:szCs w:val="21"/>
        </w:rPr>
      </w:pPr>
      <w:bookmarkStart w:id="44" w:name="_Hlk63696289"/>
      <w:r>
        <w:rPr>
          <w:rFonts w:hint="eastAsia" w:ascii="Times New Roman" w:hAnsi="Times New Roman" w:eastAsia="宋体" w:cs="Times New Roman"/>
          <w:szCs w:val="21"/>
        </w:rPr>
        <w:t>制粉前</w:t>
      </w:r>
      <w:bookmarkEnd w:id="44"/>
      <w:r>
        <w:rPr>
          <w:rFonts w:hint="eastAsia" w:ascii="Times New Roman" w:hAnsi="Times New Roman" w:eastAsia="宋体" w:cs="Times New Roman"/>
          <w:szCs w:val="21"/>
        </w:rPr>
        <w:t>轻度去皮工艺，降低微生物含量、农药残留及重金属等有害物质；</w:t>
      </w:r>
    </w:p>
    <w:p>
      <w:pPr>
        <w:pStyle w:val="15"/>
        <w:numPr>
          <w:ilvl w:val="0"/>
          <w:numId w:val="10"/>
        </w:numPr>
        <w:spacing w:before="120" w:after="120"/>
        <w:ind w:firstLineChars="0"/>
        <w:rPr>
          <w:rFonts w:ascii="Times New Roman" w:hAnsi="Times New Roman" w:eastAsia="宋体" w:cs="Times New Roman"/>
          <w:szCs w:val="21"/>
        </w:rPr>
      </w:pPr>
      <w:r>
        <w:rPr>
          <w:rFonts w:ascii="Times New Roman" w:hAnsi="Times New Roman" w:eastAsia="宋体" w:cs="Times New Roman"/>
          <w:szCs w:val="21"/>
        </w:rPr>
        <w:t>制粉前</w:t>
      </w:r>
      <w:r>
        <w:rPr>
          <w:rFonts w:hint="eastAsia" w:ascii="Times New Roman" w:hAnsi="Times New Roman" w:eastAsia="宋体" w:cs="Times New Roman"/>
          <w:szCs w:val="21"/>
        </w:rPr>
        <w:t>采用预磨技术，可以压扁并展开小麦腹沟，去除杂质。</w:t>
      </w:r>
    </w:p>
    <w:p>
      <w:pPr>
        <w:pStyle w:val="35"/>
        <w:numPr>
          <w:ilvl w:val="2"/>
          <w:numId w:val="1"/>
        </w:numPr>
        <w:spacing w:before="156" w:after="156"/>
        <w:ind w:left="0"/>
        <w:rPr>
          <w:rFonts w:hAnsi="黑体"/>
        </w:rPr>
      </w:pPr>
      <w:r>
        <w:rPr>
          <w:rFonts w:hint="eastAsia" w:hAnsi="黑体"/>
        </w:rPr>
        <w:t>加工精度要求</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不低于</w:t>
      </w:r>
      <w:r>
        <w:rPr>
          <w:rFonts w:ascii="Times New Roman" w:hAnsi="Times New Roman" w:eastAsia="宋体" w:cs="Times New Roman"/>
          <w:szCs w:val="21"/>
        </w:rPr>
        <w:t xml:space="preserve">GB </w:t>
      </w:r>
      <w:r>
        <w:rPr>
          <w:rFonts w:hint="eastAsia" w:ascii="Times New Roman" w:hAnsi="Times New Roman" w:eastAsia="宋体" w:cs="Times New Roman"/>
          <w:szCs w:val="21"/>
        </w:rPr>
        <w:t>1355</w:t>
      </w:r>
      <w:r>
        <w:rPr>
          <w:rFonts w:ascii="Times New Roman" w:hAnsi="Times New Roman" w:eastAsia="宋体" w:cs="Times New Roman"/>
          <w:szCs w:val="21"/>
        </w:rPr>
        <w:t>中规定的</w:t>
      </w:r>
      <w:r>
        <w:rPr>
          <w:rFonts w:hint="eastAsia" w:ascii="Times New Roman" w:hAnsi="Times New Roman" w:eastAsia="宋体" w:cs="Times New Roman"/>
          <w:szCs w:val="21"/>
        </w:rPr>
        <w:t>精制粉的等级</w:t>
      </w:r>
      <w:r>
        <w:rPr>
          <w:rFonts w:ascii="Times New Roman" w:hAnsi="Times New Roman" w:eastAsia="宋体" w:cs="Times New Roman"/>
          <w:szCs w:val="21"/>
        </w:rPr>
        <w:t>要求。</w:t>
      </w:r>
    </w:p>
    <w:p>
      <w:pPr>
        <w:pStyle w:val="35"/>
        <w:numPr>
          <w:ilvl w:val="2"/>
          <w:numId w:val="1"/>
        </w:numPr>
        <w:spacing w:before="156" w:after="156"/>
        <w:ind w:left="0"/>
        <w:rPr>
          <w:rFonts w:hAnsi="黑体"/>
        </w:rPr>
      </w:pPr>
      <w:r>
        <w:rPr>
          <w:rFonts w:hint="eastAsia" w:hAnsi="黑体"/>
        </w:rPr>
        <w:t>制粉工艺管道要求</w:t>
      </w:r>
    </w:p>
    <w:p>
      <w:pPr>
        <w:pStyle w:val="15"/>
        <w:numPr>
          <w:ilvl w:val="0"/>
          <w:numId w:val="11"/>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小麦粉清洁生产工艺建议对管道设置降温和防结露措施；</w:t>
      </w:r>
    </w:p>
    <w:p>
      <w:pPr>
        <w:pStyle w:val="15"/>
        <w:numPr>
          <w:ilvl w:val="0"/>
          <w:numId w:val="11"/>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小麦粉清洁生产所用粉管应采用防残留的管材材质及管道设计；</w:t>
      </w:r>
    </w:p>
    <w:p>
      <w:pPr>
        <w:pStyle w:val="15"/>
        <w:numPr>
          <w:ilvl w:val="0"/>
          <w:numId w:val="11"/>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工艺管道的设计和安装应避免死角、盲管，在满足工艺的前提下宜短捷；</w:t>
      </w:r>
    </w:p>
    <w:p>
      <w:pPr>
        <w:pStyle w:val="15"/>
        <w:numPr>
          <w:ilvl w:val="0"/>
          <w:numId w:val="11"/>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工艺管道主管系统宜设置必要的检测孔、取样孔和清扫孔；</w:t>
      </w:r>
    </w:p>
    <w:p>
      <w:pPr>
        <w:pStyle w:val="15"/>
        <w:numPr>
          <w:ilvl w:val="0"/>
          <w:numId w:val="11"/>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制粉过程与清洁麦粉直接接触的部分设备和管道建议采用不锈钢材料</w:t>
      </w:r>
      <w:r>
        <w:rPr>
          <w:rFonts w:ascii="Times New Roman" w:hAnsi="Times New Roman" w:eastAsia="宋体" w:cs="Times New Roman"/>
          <w:szCs w:val="21"/>
        </w:rPr>
        <w:t>。</w:t>
      </w:r>
    </w:p>
    <w:p>
      <w:pPr>
        <w:pStyle w:val="35"/>
        <w:numPr>
          <w:ilvl w:val="2"/>
          <w:numId w:val="1"/>
        </w:numPr>
        <w:spacing w:before="156" w:after="156"/>
        <w:ind w:left="0"/>
        <w:rPr>
          <w:rFonts w:hAnsi="黑体"/>
        </w:rPr>
      </w:pPr>
      <w:r>
        <w:rPr>
          <w:rFonts w:hint="eastAsia" w:hAnsi="黑体"/>
        </w:rPr>
        <w:t>制粉质量指标要求</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低菌小麦粉质量指标按照L</w:t>
      </w:r>
      <w:r>
        <w:rPr>
          <w:rFonts w:ascii="Times New Roman" w:hAnsi="Times New Roman" w:eastAsia="宋体" w:cs="Times New Roman"/>
          <w:szCs w:val="21"/>
        </w:rPr>
        <w:t xml:space="preserve">S/T </w:t>
      </w:r>
      <w:r>
        <w:rPr>
          <w:rFonts w:hint="eastAsia" w:ascii="Times New Roman" w:hAnsi="Times New Roman" w:eastAsia="宋体" w:cs="Times New Roman"/>
          <w:szCs w:val="21"/>
        </w:rPr>
        <w:t>3248和</w:t>
      </w:r>
      <w:r>
        <w:rPr>
          <w:rFonts w:ascii="Times New Roman" w:hAnsi="Times New Roman" w:eastAsia="宋体" w:cs="Times New Roman"/>
          <w:szCs w:val="21"/>
        </w:rPr>
        <w:t>T/CCOA 7</w:t>
      </w:r>
      <w:r>
        <w:rPr>
          <w:rFonts w:hint="eastAsia" w:ascii="Times New Roman" w:hAnsi="Times New Roman" w:eastAsia="宋体" w:cs="Times New Roman"/>
          <w:szCs w:val="21"/>
        </w:rPr>
        <w:t>的最低要求执行，其中，微生物限量应符合表5的要求。</w:t>
      </w:r>
    </w:p>
    <w:p>
      <w:pPr>
        <w:pStyle w:val="37"/>
        <w:ind w:left="420"/>
      </w:pPr>
      <w:r>
        <w:rPr>
          <w:rFonts w:hint="eastAsia"/>
        </w:rPr>
        <w:t>表5微生物限量</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7"/>
        <w:gridCol w:w="2693"/>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7"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项  目</w:t>
            </w:r>
          </w:p>
        </w:tc>
        <w:tc>
          <w:tcPr>
            <w:tcW w:w="2693"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指  标</w:t>
            </w:r>
          </w:p>
        </w:tc>
        <w:tc>
          <w:tcPr>
            <w:tcW w:w="1992"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7"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 xml:space="preserve">菌落总数/(CFU/g) </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 xml:space="preserve">  </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 xml:space="preserve">   </w:t>
            </w:r>
            <w:r>
              <w:rPr>
                <w:rFonts w:ascii="宋体" w:hAnsi="宋体" w:eastAsia="宋体" w:cs="Times New Roman"/>
                <w:sz w:val="18"/>
                <w:szCs w:val="21"/>
              </w:rPr>
              <w:t>≤</w:t>
            </w:r>
          </w:p>
        </w:tc>
        <w:tc>
          <w:tcPr>
            <w:tcW w:w="2693"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 xml:space="preserve">2 </w:t>
            </w:r>
            <w:r>
              <w:rPr>
                <w:rFonts w:hint="eastAsia" w:ascii="Times New Roman" w:hAnsi="Times New Roman" w:eastAsia="宋体" w:cs="Times New Roman"/>
                <w:sz w:val="18"/>
                <w:szCs w:val="21"/>
              </w:rPr>
              <w:t>000</w:t>
            </w:r>
          </w:p>
        </w:tc>
        <w:tc>
          <w:tcPr>
            <w:tcW w:w="1992"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GB 4789.2</w:t>
            </w:r>
          </w:p>
        </w:tc>
      </w:tr>
    </w:tbl>
    <w:p>
      <w:pPr>
        <w:pStyle w:val="35"/>
        <w:numPr>
          <w:ilvl w:val="2"/>
          <w:numId w:val="1"/>
        </w:numPr>
        <w:spacing w:before="156" w:after="156"/>
        <w:ind w:left="0"/>
        <w:rPr>
          <w:rFonts w:hAnsi="黑体"/>
        </w:rPr>
      </w:pPr>
      <w:r>
        <w:rPr>
          <w:rFonts w:hint="eastAsia" w:hAnsi="黑体"/>
        </w:rPr>
        <w:t>卫生规范要求</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按照GB</w:t>
      </w:r>
      <w:r>
        <w:rPr>
          <w:rFonts w:ascii="Times New Roman" w:hAnsi="Times New Roman" w:eastAsia="宋体" w:cs="Times New Roman"/>
          <w:szCs w:val="21"/>
        </w:rPr>
        <w:t xml:space="preserve"> </w:t>
      </w:r>
      <w:r>
        <w:rPr>
          <w:rFonts w:hint="eastAsia" w:ascii="Times New Roman" w:hAnsi="Times New Roman" w:eastAsia="宋体" w:cs="Times New Roman"/>
          <w:szCs w:val="21"/>
        </w:rPr>
        <w:t>2715和GB</w:t>
      </w:r>
      <w:r>
        <w:rPr>
          <w:rFonts w:ascii="Times New Roman" w:hAnsi="Times New Roman" w:eastAsia="宋体" w:cs="Times New Roman"/>
          <w:szCs w:val="21"/>
        </w:rPr>
        <w:t xml:space="preserve"> 13122</w:t>
      </w:r>
      <w:r>
        <w:rPr>
          <w:rFonts w:hint="eastAsia" w:ascii="Times New Roman" w:hAnsi="Times New Roman" w:eastAsia="宋体" w:cs="Times New Roman"/>
          <w:szCs w:val="21"/>
        </w:rPr>
        <w:t>执行</w:t>
      </w:r>
      <w:r>
        <w:rPr>
          <w:rFonts w:ascii="Times New Roman" w:hAnsi="Times New Roman" w:eastAsia="宋体" w:cs="Times New Roman"/>
          <w:szCs w:val="21"/>
        </w:rPr>
        <w:t>。</w:t>
      </w:r>
    </w:p>
    <w:p>
      <w:pPr>
        <w:pStyle w:val="33"/>
        <w:numPr>
          <w:ilvl w:val="1"/>
          <w:numId w:val="1"/>
        </w:numPr>
        <w:spacing w:line="300" w:lineRule="auto"/>
        <w:ind w:left="0"/>
        <w:rPr>
          <w:rFonts w:ascii="Times New Roman"/>
        </w:rPr>
      </w:pPr>
      <w:r>
        <w:rPr>
          <w:rFonts w:hint="eastAsia" w:ascii="Times New Roman"/>
        </w:rPr>
        <w:t>配粉要求</w:t>
      </w:r>
    </w:p>
    <w:p>
      <w:pPr>
        <w:pStyle w:val="35"/>
        <w:numPr>
          <w:ilvl w:val="2"/>
          <w:numId w:val="1"/>
        </w:numPr>
        <w:spacing w:before="156" w:after="156"/>
        <w:ind w:left="0"/>
        <w:rPr>
          <w:rFonts w:hAnsi="黑体"/>
        </w:rPr>
      </w:pPr>
      <w:r>
        <w:rPr>
          <w:rFonts w:hint="eastAsia" w:hAnsi="黑体"/>
        </w:rPr>
        <w:t>配粉输送要求</w:t>
      </w:r>
    </w:p>
    <w:p>
      <w:pPr>
        <w:pStyle w:val="15"/>
        <w:numPr>
          <w:ilvl w:val="0"/>
          <w:numId w:val="12"/>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小麦粉入仓前建议设置杀虫装置，打包前应设置有检查筛；</w:t>
      </w:r>
    </w:p>
    <w:p>
      <w:pPr>
        <w:pStyle w:val="15"/>
        <w:numPr>
          <w:ilvl w:val="0"/>
          <w:numId w:val="12"/>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小麦粉输送建议采用正压输送管道，防止霉变；</w:t>
      </w:r>
    </w:p>
    <w:p>
      <w:pPr>
        <w:pStyle w:val="15"/>
        <w:numPr>
          <w:ilvl w:val="0"/>
          <w:numId w:val="12"/>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低菌小麦粉配料秤的内壁采用食品级涂料，</w:t>
      </w:r>
      <w:r>
        <w:rPr>
          <w:rFonts w:ascii="Times New Roman" w:hAnsi="Times New Roman" w:eastAsia="宋体" w:cs="Times New Roman"/>
          <w:szCs w:val="21"/>
        </w:rPr>
        <w:t>防止物料残留，消除微生物大量滋生的环境</w:t>
      </w:r>
      <w:r>
        <w:rPr>
          <w:rFonts w:hint="eastAsia" w:ascii="Times New Roman" w:hAnsi="Times New Roman" w:eastAsia="宋体" w:cs="Times New Roman"/>
          <w:szCs w:val="21"/>
        </w:rPr>
        <w:t>。</w:t>
      </w:r>
    </w:p>
    <w:p>
      <w:pPr>
        <w:pStyle w:val="35"/>
        <w:numPr>
          <w:ilvl w:val="2"/>
          <w:numId w:val="1"/>
        </w:numPr>
        <w:spacing w:before="156" w:after="156"/>
        <w:ind w:left="0"/>
        <w:rPr>
          <w:rFonts w:hAnsi="黑体"/>
        </w:rPr>
      </w:pPr>
      <w:r>
        <w:rPr>
          <w:rFonts w:hint="eastAsia" w:hAnsi="黑体"/>
        </w:rPr>
        <w:t>粉仓要求</w:t>
      </w:r>
    </w:p>
    <w:p>
      <w:pPr>
        <w:pStyle w:val="15"/>
        <w:numPr>
          <w:ilvl w:val="0"/>
          <w:numId w:val="13"/>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低菌小麦粉应设置专用粉仓，应专门设置管理措施，并定期清理；</w:t>
      </w:r>
    </w:p>
    <w:p>
      <w:pPr>
        <w:pStyle w:val="15"/>
        <w:numPr>
          <w:ilvl w:val="0"/>
          <w:numId w:val="13"/>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低菌小麦粉的粉仓应进行防潮处理，并设置独立的除尘风网；</w:t>
      </w:r>
    </w:p>
    <w:p>
      <w:pPr>
        <w:pStyle w:val="15"/>
        <w:numPr>
          <w:ilvl w:val="0"/>
          <w:numId w:val="13"/>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低菌小麦粉粉仓的仓型、仓壁材料、卸料锥斗类型及设备的选择和设计应遵循易于清理、防止仓内物料结拱的要求；</w:t>
      </w:r>
    </w:p>
    <w:p>
      <w:pPr>
        <w:pStyle w:val="15"/>
        <w:numPr>
          <w:ilvl w:val="0"/>
          <w:numId w:val="13"/>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低菌小麦粉打包工序之前，必须经过磁选。磁性金属物含量应符合GB</w:t>
      </w:r>
      <w:r>
        <w:rPr>
          <w:rFonts w:ascii="Times New Roman" w:hAnsi="Times New Roman" w:eastAsia="宋体" w:cs="Times New Roman"/>
          <w:szCs w:val="21"/>
        </w:rPr>
        <w:t>/</w:t>
      </w:r>
      <w:r>
        <w:rPr>
          <w:rFonts w:hint="eastAsia" w:ascii="Times New Roman" w:hAnsi="Times New Roman" w:eastAsia="宋体" w:cs="Times New Roman"/>
          <w:szCs w:val="21"/>
        </w:rPr>
        <w:t>T</w:t>
      </w:r>
      <w:r>
        <w:rPr>
          <w:rFonts w:ascii="Times New Roman" w:hAnsi="Times New Roman" w:eastAsia="宋体" w:cs="Times New Roman"/>
          <w:szCs w:val="21"/>
        </w:rPr>
        <w:t xml:space="preserve"> 1355</w:t>
      </w:r>
      <w:r>
        <w:rPr>
          <w:rFonts w:hint="eastAsia" w:ascii="Times New Roman" w:hAnsi="Times New Roman" w:eastAsia="宋体" w:cs="Times New Roman"/>
          <w:szCs w:val="21"/>
        </w:rPr>
        <w:t>的要求。</w:t>
      </w:r>
    </w:p>
    <w:p>
      <w:pPr>
        <w:pStyle w:val="35"/>
        <w:numPr>
          <w:ilvl w:val="2"/>
          <w:numId w:val="1"/>
        </w:numPr>
        <w:spacing w:before="156" w:after="156"/>
        <w:ind w:left="0"/>
        <w:rPr>
          <w:rFonts w:hAnsi="黑体"/>
        </w:rPr>
      </w:pPr>
      <w:r>
        <w:rPr>
          <w:rFonts w:hint="eastAsia" w:hAnsi="黑体"/>
        </w:rPr>
        <w:t>配粉包装要求</w:t>
      </w:r>
    </w:p>
    <w:p>
      <w:pPr>
        <w:pStyle w:val="15"/>
        <w:numPr>
          <w:ilvl w:val="0"/>
          <w:numId w:val="14"/>
        </w:numPr>
        <w:spacing w:before="120" w:after="120"/>
        <w:ind w:firstLineChars="0"/>
        <w:rPr>
          <w:rFonts w:ascii="Times New Roman" w:hAnsi="Times New Roman" w:eastAsia="宋体" w:cs="Times New Roman"/>
          <w:szCs w:val="21"/>
        </w:rPr>
      </w:pPr>
      <w:r>
        <w:rPr>
          <w:rFonts w:ascii="Times New Roman" w:hAnsi="Times New Roman" w:eastAsia="宋体" w:cs="Times New Roman"/>
          <w:szCs w:val="21"/>
        </w:rPr>
        <w:t>包装环境、包装材料、容器应符合GB/T 17109的规定</w:t>
      </w:r>
      <w:r>
        <w:rPr>
          <w:rFonts w:hint="eastAsia" w:ascii="Times New Roman" w:hAnsi="Times New Roman" w:eastAsia="宋体" w:cs="Times New Roman"/>
          <w:szCs w:val="21"/>
        </w:rPr>
        <w:t>；</w:t>
      </w:r>
    </w:p>
    <w:p>
      <w:pPr>
        <w:pStyle w:val="15"/>
        <w:numPr>
          <w:ilvl w:val="0"/>
          <w:numId w:val="14"/>
        </w:numPr>
        <w:spacing w:before="120" w:after="120"/>
        <w:ind w:firstLineChars="0"/>
        <w:rPr>
          <w:rFonts w:ascii="Times New Roman" w:hAnsi="Times New Roman" w:eastAsia="宋体" w:cs="Times New Roman"/>
          <w:szCs w:val="21"/>
        </w:rPr>
      </w:pPr>
      <w:r>
        <w:rPr>
          <w:rFonts w:ascii="Times New Roman" w:hAnsi="Times New Roman" w:eastAsia="宋体" w:cs="Times New Roman"/>
          <w:szCs w:val="21"/>
        </w:rPr>
        <w:t>若采用包装袋，则包装袋应坚固结实，封口或者缝口应严密</w:t>
      </w:r>
      <w:r>
        <w:rPr>
          <w:rFonts w:hint="eastAsia" w:ascii="Times New Roman" w:hAnsi="Times New Roman" w:eastAsia="宋体" w:cs="Times New Roman"/>
          <w:szCs w:val="21"/>
        </w:rPr>
        <w:t>；</w:t>
      </w:r>
    </w:p>
    <w:p>
      <w:pPr>
        <w:pStyle w:val="15"/>
        <w:numPr>
          <w:ilvl w:val="0"/>
          <w:numId w:val="14"/>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制粉车间、打包间或成品库的落地粉，不得回机；</w:t>
      </w:r>
    </w:p>
    <w:p>
      <w:pPr>
        <w:pStyle w:val="15"/>
        <w:numPr>
          <w:ilvl w:val="0"/>
          <w:numId w:val="14"/>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定量包装净含量应符合《定量包装商品计量监督管理办法》的规定，按</w:t>
      </w:r>
      <w:r>
        <w:rPr>
          <w:rFonts w:ascii="Times New Roman" w:hAnsi="Times New Roman" w:eastAsia="宋体" w:cs="Times New Roman"/>
          <w:szCs w:val="21"/>
        </w:rPr>
        <w:t>JJF 1070.2规定的方法检验</w:t>
      </w:r>
      <w:r>
        <w:rPr>
          <w:rFonts w:hint="eastAsia" w:ascii="Times New Roman" w:hAnsi="Times New Roman" w:eastAsia="宋体" w:cs="Times New Roman"/>
          <w:szCs w:val="21"/>
        </w:rPr>
        <w:t>。</w:t>
      </w:r>
    </w:p>
    <w:p>
      <w:pPr>
        <w:pStyle w:val="33"/>
        <w:numPr>
          <w:ilvl w:val="1"/>
          <w:numId w:val="1"/>
        </w:numPr>
        <w:spacing w:line="300" w:lineRule="auto"/>
        <w:ind w:left="0"/>
        <w:rPr>
          <w:rFonts w:ascii="Times New Roman"/>
        </w:rPr>
      </w:pPr>
      <w:r>
        <w:rPr>
          <w:rFonts w:hint="eastAsia" w:ascii="Times New Roman"/>
        </w:rPr>
        <w:t>物流要求</w:t>
      </w:r>
    </w:p>
    <w:p>
      <w:pPr>
        <w:pStyle w:val="35"/>
        <w:numPr>
          <w:ilvl w:val="2"/>
          <w:numId w:val="1"/>
        </w:numPr>
        <w:spacing w:before="156" w:after="156"/>
        <w:ind w:left="0"/>
        <w:rPr>
          <w:rFonts w:hAnsi="黑体"/>
        </w:rPr>
      </w:pPr>
      <w:r>
        <w:rPr>
          <w:rFonts w:hint="eastAsia" w:hAnsi="黑体"/>
        </w:rPr>
        <w:t>储存库房要求</w:t>
      </w:r>
    </w:p>
    <w:p>
      <w:pPr>
        <w:pStyle w:val="15"/>
        <w:numPr>
          <w:ilvl w:val="0"/>
          <w:numId w:val="15"/>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为提高污染控制水平，低菌小麦粉应设置专用</w:t>
      </w:r>
      <w:r>
        <w:rPr>
          <w:rFonts w:ascii="Times New Roman" w:hAnsi="Times New Roman" w:eastAsia="宋体" w:cs="Times New Roman"/>
          <w:szCs w:val="21"/>
        </w:rPr>
        <w:t>储存库房</w:t>
      </w:r>
      <w:r>
        <w:rPr>
          <w:rFonts w:hint="eastAsia" w:ascii="Times New Roman" w:hAnsi="Times New Roman" w:eastAsia="宋体" w:cs="Times New Roman"/>
          <w:szCs w:val="21"/>
        </w:rPr>
        <w:t>，且库房应</w:t>
      </w:r>
      <w:r>
        <w:rPr>
          <w:rFonts w:ascii="Times New Roman" w:hAnsi="Times New Roman" w:eastAsia="宋体" w:cs="Times New Roman"/>
          <w:szCs w:val="21"/>
        </w:rPr>
        <w:t>洁净、干燥、无污染</w:t>
      </w:r>
      <w:r>
        <w:rPr>
          <w:rFonts w:hint="eastAsia" w:ascii="Times New Roman" w:hAnsi="Times New Roman" w:eastAsia="宋体" w:cs="Times New Roman"/>
          <w:szCs w:val="21"/>
        </w:rPr>
        <w:t>；</w:t>
      </w:r>
    </w:p>
    <w:p>
      <w:pPr>
        <w:pStyle w:val="15"/>
        <w:numPr>
          <w:ilvl w:val="0"/>
          <w:numId w:val="15"/>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低菌小麦粉储存库房</w:t>
      </w:r>
      <w:r>
        <w:rPr>
          <w:rFonts w:ascii="Times New Roman" w:hAnsi="Times New Roman" w:eastAsia="宋体" w:cs="Times New Roman"/>
          <w:szCs w:val="21"/>
        </w:rPr>
        <w:t>备有防虫、防鼠、防潮、防晒、防污染设施，不得与有毒有害物质或水分较高的物质混存</w:t>
      </w:r>
      <w:r>
        <w:rPr>
          <w:rFonts w:hint="eastAsia" w:ascii="Times New Roman" w:hAnsi="Times New Roman" w:eastAsia="宋体" w:cs="Times New Roman"/>
          <w:szCs w:val="21"/>
        </w:rPr>
        <w:t>。</w:t>
      </w:r>
    </w:p>
    <w:p>
      <w:pPr>
        <w:pStyle w:val="35"/>
        <w:numPr>
          <w:ilvl w:val="2"/>
          <w:numId w:val="1"/>
        </w:numPr>
        <w:spacing w:before="156" w:after="156"/>
        <w:ind w:left="0"/>
        <w:rPr>
          <w:rFonts w:hAnsi="黑体"/>
        </w:rPr>
      </w:pPr>
      <w:r>
        <w:rPr>
          <w:rFonts w:hint="eastAsia" w:hAnsi="黑体"/>
        </w:rPr>
        <w:t>物流运输要求</w:t>
      </w:r>
    </w:p>
    <w:p>
      <w:pPr>
        <w:pStyle w:val="15"/>
        <w:numPr>
          <w:ilvl w:val="0"/>
          <w:numId w:val="16"/>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运输低菌小麦粉</w:t>
      </w:r>
      <w:r>
        <w:rPr>
          <w:rFonts w:ascii="Times New Roman" w:hAnsi="Times New Roman" w:eastAsia="宋体" w:cs="Times New Roman"/>
          <w:szCs w:val="21"/>
        </w:rPr>
        <w:t>应</w:t>
      </w:r>
      <w:r>
        <w:rPr>
          <w:rFonts w:hint="eastAsia" w:ascii="Times New Roman" w:hAnsi="Times New Roman" w:eastAsia="宋体" w:cs="Times New Roman"/>
          <w:szCs w:val="21"/>
        </w:rPr>
        <w:t>的车辆、工具、铺垫物、遮盖物必须清洁，</w:t>
      </w:r>
      <w:r>
        <w:rPr>
          <w:rFonts w:ascii="Times New Roman" w:hAnsi="Times New Roman" w:eastAsia="宋体" w:cs="Times New Roman"/>
          <w:szCs w:val="21"/>
        </w:rPr>
        <w:t>运输过程中应注意防止雨淋和被污染</w:t>
      </w:r>
      <w:r>
        <w:rPr>
          <w:rFonts w:hint="eastAsia" w:ascii="Times New Roman" w:hAnsi="Times New Roman" w:eastAsia="宋体" w:cs="Times New Roman"/>
          <w:szCs w:val="21"/>
        </w:rPr>
        <w:t>；</w:t>
      </w:r>
    </w:p>
    <w:p>
      <w:pPr>
        <w:pStyle w:val="15"/>
        <w:numPr>
          <w:ilvl w:val="0"/>
          <w:numId w:val="16"/>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低菌小麦粉严禁与有毒、有害、有异味或影响产品质量的物品混装运输。</w:t>
      </w:r>
    </w:p>
    <w:p>
      <w:pPr>
        <w:pStyle w:val="35"/>
        <w:numPr>
          <w:ilvl w:val="2"/>
          <w:numId w:val="1"/>
        </w:numPr>
        <w:spacing w:before="156" w:after="156"/>
        <w:ind w:left="0"/>
        <w:rPr>
          <w:rFonts w:hAnsi="黑体"/>
        </w:rPr>
      </w:pPr>
      <w:r>
        <w:rPr>
          <w:rFonts w:hint="eastAsia" w:hAnsi="黑体"/>
        </w:rPr>
        <w:t>物流净化要求</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物流净化应包括产品外包清洁、拆包、传递或传输设备。</w:t>
      </w:r>
    </w:p>
    <w:p>
      <w:pPr>
        <w:pStyle w:val="33"/>
        <w:numPr>
          <w:ilvl w:val="1"/>
          <w:numId w:val="1"/>
        </w:numPr>
        <w:spacing w:line="300" w:lineRule="auto"/>
        <w:ind w:left="0"/>
        <w:rPr>
          <w:rFonts w:ascii="Times New Roman"/>
        </w:rPr>
      </w:pPr>
      <w:bookmarkStart w:id="45" w:name="_Hlk100608998"/>
      <w:r>
        <w:rPr>
          <w:rFonts w:hint="eastAsia" w:ascii="Times New Roman"/>
        </w:rPr>
        <w:t>卫生与质量检验管理要求</w:t>
      </w:r>
      <w:bookmarkEnd w:id="45"/>
    </w:p>
    <w:p>
      <w:pPr>
        <w:pStyle w:val="15"/>
        <w:numPr>
          <w:ilvl w:val="0"/>
          <w:numId w:val="17"/>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工厂必须设有与生产能力相适应的卫生、质量检验机构，配备经专业培训、考试合格的检验人员；</w:t>
      </w:r>
    </w:p>
    <w:p>
      <w:pPr>
        <w:pStyle w:val="15"/>
        <w:numPr>
          <w:ilvl w:val="0"/>
          <w:numId w:val="17"/>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检验机构应设有化验室，具备化验工作所需要的仪器、设备；</w:t>
      </w:r>
    </w:p>
    <w:p>
      <w:pPr>
        <w:pStyle w:val="15"/>
        <w:numPr>
          <w:ilvl w:val="0"/>
          <w:numId w:val="17"/>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化验室应按照国家规定的检验方法进行化验；</w:t>
      </w:r>
    </w:p>
    <w:p>
      <w:pPr>
        <w:pStyle w:val="15"/>
        <w:numPr>
          <w:ilvl w:val="0"/>
          <w:numId w:val="17"/>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各项检验原始记录保存2年。</w:t>
      </w:r>
    </w:p>
    <w:p>
      <w:pPr>
        <w:rPr>
          <w:rFonts w:ascii="Times New Roman" w:hAnsi="Times New Roman" w:eastAsia="宋体" w:cs="Times New Roman"/>
          <w:szCs w:val="21"/>
        </w:rPr>
      </w:pPr>
      <w:r>
        <w:rPr>
          <w:rFonts w:ascii="Times New Roman" w:hAnsi="Times New Roman" w:eastAsia="宋体" w:cs="Times New Roman"/>
          <w:szCs w:val="21"/>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76200</wp:posOffset>
                </wp:positionV>
                <wp:extent cx="25844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5844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pt;margin-top:6pt;height:0pt;width:203.5pt;z-index:251659264;mso-width-relative:page;mso-height-relative:page;" filled="f" stroked="t" coordsize="21600,21600" o:gfxdata="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0XDLP0wAAAAcBAAAPAAAA&#10;AAAAAAEAIAAAACIAAABkcnMvZG93bnJldi54bWxQSwECFAAUAAAACACHTuJAgaNy0OEBAACxAwAA&#10;DgAAAAAAAAABACAAAAAiAQAAZHJzL2Uyb0RvYy54bWxQSwUGAAAAAAYABgBZAQAAdQUAAAAA&#10;">
                <v:fill on="f" focussize="0,0"/>
                <v:stroke weight="0.5pt" color="#000000 [3213]" miterlimit="8" joinstyle="miter"/>
                <v:imagedata o:title=""/>
                <o:lock v:ext="edit" aspectratio="f"/>
              </v:line>
            </w:pict>
          </mc:Fallback>
        </mc:AlternateContent>
      </w:r>
    </w:p>
    <w:sectPr>
      <w:footerReference r:id="rId7" w:type="default"/>
      <w:footerReference r:id="rId8" w:type="even"/>
      <w:pgSz w:w="11906" w:h="16838"/>
      <w:pgMar w:top="1418" w:right="1134" w:bottom="1134" w:left="1418"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7030437"/>
      <w:docPartObj>
        <w:docPartGallery w:val="autotext"/>
      </w:docPartObj>
    </w:sdtPr>
    <w:sdtEndPr>
      <w:rPr>
        <w:rFonts w:ascii="Times New Roman" w:hAnsi="Times New Roman" w:cs="Times New Roman"/>
      </w:rPr>
    </w:sdtEndPr>
    <w:sdtContent>
      <w:p>
        <w:pPr>
          <w:pStyle w:val="4"/>
          <w:jc w:val="center"/>
        </w:pPr>
      </w:p>
      <w:p>
        <w:pPr>
          <w:pStyle w:val="4"/>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w:t>
        </w:r>
        <w:r>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906984"/>
      <w:docPartObj>
        <w:docPartGallery w:val="autotext"/>
      </w:docPartObj>
    </w:sdtPr>
    <w:sdtEndPr>
      <w:rPr>
        <w:rFonts w:ascii="宋体" w:hAnsi="宋体" w:eastAsia="宋体"/>
      </w:rPr>
    </w:sdtEndPr>
    <w:sdtContent>
      <w:p>
        <w:pPr>
          <w:pStyle w:val="4"/>
          <w:jc w:val="right"/>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3</w:t>
        </w:r>
        <w:r>
          <w:rPr>
            <w:rFonts w:ascii="宋体" w:hAnsi="宋体" w:eastAsia="宋体"/>
          </w:rPr>
          <w:fldChar w:fldCharType="end"/>
        </w:r>
      </w:p>
    </w:sdtContent>
  </w:sdt>
  <w:p>
    <w:pPr>
      <w:pStyle w:val="4"/>
      <w:jc w:val="center"/>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981228"/>
      <w:docPartObj>
        <w:docPartGallery w:val="autotext"/>
      </w:docPartObj>
    </w:sdtPr>
    <w:sdtEndPr>
      <w:rPr>
        <w:rFonts w:ascii="宋体" w:hAnsi="宋体" w:eastAsia="宋体"/>
      </w:rPr>
    </w:sdtEndPr>
    <w:sdtContent>
      <w:p>
        <w:pPr>
          <w:pStyle w:val="4"/>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4</w:t>
        </w:r>
        <w:r>
          <w:rPr>
            <w:rFonts w:ascii="宋体" w:hAnsi="宋体" w:eastAsia="宋体"/>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E0B24"/>
    <w:multiLevelType w:val="multilevel"/>
    <w:tmpl w:val="0A3E0B24"/>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DBB513C"/>
    <w:multiLevelType w:val="multilevel"/>
    <w:tmpl w:val="1DBB513C"/>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E55618C"/>
    <w:multiLevelType w:val="multilevel"/>
    <w:tmpl w:val="1E55618C"/>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FC91163"/>
    <w:multiLevelType w:val="multilevel"/>
    <w:tmpl w:val="1FC91163"/>
    <w:lvl w:ilvl="0" w:tentative="0">
      <w:start w:val="1"/>
      <w:numFmt w:val="decimal"/>
      <w:suff w:val="nothing"/>
      <w:lvlText w:val="%1　"/>
      <w:lvlJc w:val="left"/>
      <w:pPr>
        <w:ind w:left="1559" w:firstLine="0"/>
      </w:pPr>
      <w:rPr>
        <w:rFonts w:hint="eastAsia" w:ascii="黑体" w:hAnsi="Times New Roman" w:eastAsia="黑体"/>
        <w:b w:val="0"/>
        <w:i w:val="0"/>
        <w:sz w:val="21"/>
        <w:szCs w:val="21"/>
      </w:rPr>
    </w:lvl>
    <w:lvl w:ilvl="1" w:tentative="0">
      <w:start w:val="1"/>
      <w:numFmt w:val="decimal"/>
      <w:suff w:val="nothing"/>
      <w:lvlText w:val="%1.%2　"/>
      <w:lvlJc w:val="left"/>
      <w:pPr>
        <w:ind w:left="99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1701" w:firstLine="0"/>
      </w:pPr>
      <w:rPr>
        <w:rFonts w:hint="eastAsia" w:ascii="黑体" w:hAnsi="Times New Roman" w:eastAsia="黑体"/>
        <w:b w:val="0"/>
        <w:i w:val="0"/>
        <w:sz w:val="21"/>
      </w:rPr>
    </w:lvl>
    <w:lvl w:ilvl="3" w:tentative="0">
      <w:start w:val="1"/>
      <w:numFmt w:val="decimal"/>
      <w:suff w:val="nothing"/>
      <w:lvlText w:val="%1.%2.%3.%4　"/>
      <w:lvlJc w:val="left"/>
      <w:pPr>
        <w:ind w:left="-284" w:firstLine="0"/>
      </w:pPr>
      <w:rPr>
        <w:rFonts w:hint="eastAsia" w:ascii="黑体" w:hAnsi="Times New Roman" w:eastAsia="黑体"/>
        <w:b w:val="0"/>
        <w:i w:val="0"/>
        <w:sz w:val="21"/>
      </w:rPr>
    </w:lvl>
    <w:lvl w:ilvl="4" w:tentative="0">
      <w:start w:val="1"/>
      <w:numFmt w:val="decimal"/>
      <w:suff w:val="nothing"/>
      <w:lvlText w:val="%1.%2.%3.%4.%5　"/>
      <w:lvlJc w:val="left"/>
      <w:pPr>
        <w:ind w:left="-284" w:firstLine="0"/>
      </w:pPr>
      <w:rPr>
        <w:rFonts w:hint="eastAsia" w:ascii="黑体" w:hAnsi="Times New Roman" w:eastAsia="黑体"/>
        <w:b w:val="0"/>
        <w:i w:val="0"/>
        <w:sz w:val="21"/>
      </w:rPr>
    </w:lvl>
    <w:lvl w:ilvl="5" w:tentative="0">
      <w:start w:val="1"/>
      <w:numFmt w:val="decimal"/>
      <w:suff w:val="nothing"/>
      <w:lvlText w:val="%1.%2.%3.%4.%5.%6　"/>
      <w:lvlJc w:val="left"/>
      <w:pPr>
        <w:ind w:left="-284" w:firstLine="0"/>
      </w:pPr>
      <w:rPr>
        <w:rFonts w:hint="eastAsia" w:ascii="黑体" w:hAnsi="Times New Roman" w:eastAsia="黑体"/>
        <w:b w:val="0"/>
        <w:i w:val="0"/>
        <w:sz w:val="21"/>
      </w:rPr>
    </w:lvl>
    <w:lvl w:ilvl="6" w:tentative="0">
      <w:start w:val="1"/>
      <w:numFmt w:val="decimal"/>
      <w:suff w:val="nothing"/>
      <w:lvlText w:val="%1%2.%3.%4.%5.%6.%7　"/>
      <w:lvlJc w:val="left"/>
      <w:pPr>
        <w:ind w:left="-284" w:firstLine="0"/>
      </w:pPr>
      <w:rPr>
        <w:rFonts w:hint="eastAsia" w:ascii="黑体" w:hAnsi="Times New Roman" w:eastAsia="黑体"/>
        <w:b w:val="0"/>
        <w:i w:val="0"/>
        <w:sz w:val="21"/>
      </w:rPr>
    </w:lvl>
    <w:lvl w:ilvl="7" w:tentative="0">
      <w:start w:val="1"/>
      <w:numFmt w:val="decimal"/>
      <w:lvlText w:val="%1.%2.%3.%4.%5.%6.%7.%8"/>
      <w:lvlJc w:val="left"/>
      <w:pPr>
        <w:tabs>
          <w:tab w:val="left" w:pos="4067"/>
        </w:tabs>
        <w:ind w:left="3685" w:hanging="1418"/>
      </w:pPr>
      <w:rPr>
        <w:rFonts w:hint="eastAsia"/>
      </w:rPr>
    </w:lvl>
    <w:lvl w:ilvl="8" w:tentative="0">
      <w:start w:val="1"/>
      <w:numFmt w:val="decimal"/>
      <w:lvlText w:val="%1.%2.%3.%4.%5.%6.%7.%8.%9"/>
      <w:lvlJc w:val="left"/>
      <w:pPr>
        <w:tabs>
          <w:tab w:val="left" w:pos="4493"/>
        </w:tabs>
        <w:ind w:left="4393" w:hanging="1700"/>
      </w:pPr>
      <w:rPr>
        <w:rFonts w:hint="eastAsia"/>
      </w:rPr>
    </w:lvl>
  </w:abstractNum>
  <w:abstractNum w:abstractNumId="4">
    <w:nsid w:val="25D766D7"/>
    <w:multiLevelType w:val="multilevel"/>
    <w:tmpl w:val="25D766D7"/>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CA03939"/>
    <w:multiLevelType w:val="multilevel"/>
    <w:tmpl w:val="2CA03939"/>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890213C"/>
    <w:multiLevelType w:val="multilevel"/>
    <w:tmpl w:val="3890213C"/>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BA44BF8"/>
    <w:multiLevelType w:val="multilevel"/>
    <w:tmpl w:val="3BA44BF8"/>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2587B4A"/>
    <w:multiLevelType w:val="multilevel"/>
    <w:tmpl w:val="42587B4A"/>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9DF2789"/>
    <w:multiLevelType w:val="multilevel"/>
    <w:tmpl w:val="49DF2789"/>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4A921774"/>
    <w:multiLevelType w:val="multilevel"/>
    <w:tmpl w:val="4A921774"/>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5164332B"/>
    <w:multiLevelType w:val="multilevel"/>
    <w:tmpl w:val="5164332B"/>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4700E58"/>
    <w:multiLevelType w:val="multilevel"/>
    <w:tmpl w:val="54700E58"/>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5AA52385"/>
    <w:multiLevelType w:val="multilevel"/>
    <w:tmpl w:val="5AA52385"/>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184403D"/>
    <w:multiLevelType w:val="multilevel"/>
    <w:tmpl w:val="6184403D"/>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99C54EF"/>
    <w:multiLevelType w:val="multilevel"/>
    <w:tmpl w:val="699C54EF"/>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2917ED0"/>
    <w:multiLevelType w:val="multilevel"/>
    <w:tmpl w:val="72917ED0"/>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16"/>
  </w:num>
  <w:num w:numId="3">
    <w:abstractNumId w:val="7"/>
  </w:num>
  <w:num w:numId="4">
    <w:abstractNumId w:val="14"/>
  </w:num>
  <w:num w:numId="5">
    <w:abstractNumId w:val="12"/>
  </w:num>
  <w:num w:numId="6">
    <w:abstractNumId w:val="0"/>
  </w:num>
  <w:num w:numId="7">
    <w:abstractNumId w:val="15"/>
  </w:num>
  <w:num w:numId="8">
    <w:abstractNumId w:val="1"/>
  </w:num>
  <w:num w:numId="9">
    <w:abstractNumId w:val="10"/>
  </w:num>
  <w:num w:numId="10">
    <w:abstractNumId w:val="13"/>
  </w:num>
  <w:num w:numId="11">
    <w:abstractNumId w:val="2"/>
  </w:num>
  <w:num w:numId="12">
    <w:abstractNumId w:val="9"/>
  </w:num>
  <w:num w:numId="13">
    <w:abstractNumId w:val="6"/>
  </w:num>
  <w:num w:numId="14">
    <w:abstractNumId w:val="8"/>
  </w:num>
  <w:num w:numId="15">
    <w:abstractNumId w:val="5"/>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E0NjAzMTc2MDIzMbBQ0lEKTi0uzszPAykwMqkFAFsVNzotAAAA"/>
  </w:docVars>
  <w:rsids>
    <w:rsidRoot w:val="0068322F"/>
    <w:rsid w:val="000006C1"/>
    <w:rsid w:val="00004894"/>
    <w:rsid w:val="00004C60"/>
    <w:rsid w:val="00005F7F"/>
    <w:rsid w:val="000063F5"/>
    <w:rsid w:val="00007821"/>
    <w:rsid w:val="0001122B"/>
    <w:rsid w:val="00013ED9"/>
    <w:rsid w:val="000141F5"/>
    <w:rsid w:val="000154C9"/>
    <w:rsid w:val="00016161"/>
    <w:rsid w:val="00016653"/>
    <w:rsid w:val="0001787C"/>
    <w:rsid w:val="0002009D"/>
    <w:rsid w:val="000212A8"/>
    <w:rsid w:val="00021982"/>
    <w:rsid w:val="0002366F"/>
    <w:rsid w:val="000240BD"/>
    <w:rsid w:val="00024171"/>
    <w:rsid w:val="000303A4"/>
    <w:rsid w:val="00035134"/>
    <w:rsid w:val="00035B81"/>
    <w:rsid w:val="00036DFC"/>
    <w:rsid w:val="0004694D"/>
    <w:rsid w:val="00053AB9"/>
    <w:rsid w:val="00053F2D"/>
    <w:rsid w:val="000543D0"/>
    <w:rsid w:val="00055A3B"/>
    <w:rsid w:val="00056034"/>
    <w:rsid w:val="00056440"/>
    <w:rsid w:val="00057464"/>
    <w:rsid w:val="00057600"/>
    <w:rsid w:val="00057EB0"/>
    <w:rsid w:val="00060376"/>
    <w:rsid w:val="00062645"/>
    <w:rsid w:val="00063028"/>
    <w:rsid w:val="00066043"/>
    <w:rsid w:val="000673EE"/>
    <w:rsid w:val="00067A9E"/>
    <w:rsid w:val="00070AA5"/>
    <w:rsid w:val="00071D07"/>
    <w:rsid w:val="00072AA2"/>
    <w:rsid w:val="00072C22"/>
    <w:rsid w:val="00073508"/>
    <w:rsid w:val="00074A9B"/>
    <w:rsid w:val="000755B5"/>
    <w:rsid w:val="00077946"/>
    <w:rsid w:val="00082086"/>
    <w:rsid w:val="0008367E"/>
    <w:rsid w:val="000842EE"/>
    <w:rsid w:val="000909D8"/>
    <w:rsid w:val="0009282D"/>
    <w:rsid w:val="00092FBB"/>
    <w:rsid w:val="00094BD1"/>
    <w:rsid w:val="000951F0"/>
    <w:rsid w:val="000B0CDC"/>
    <w:rsid w:val="000B4B4C"/>
    <w:rsid w:val="000B5EB4"/>
    <w:rsid w:val="000B5F49"/>
    <w:rsid w:val="000C0247"/>
    <w:rsid w:val="000C0BAB"/>
    <w:rsid w:val="000C0BD1"/>
    <w:rsid w:val="000C1487"/>
    <w:rsid w:val="000C1665"/>
    <w:rsid w:val="000C2763"/>
    <w:rsid w:val="000C34A6"/>
    <w:rsid w:val="000C6B87"/>
    <w:rsid w:val="000D4342"/>
    <w:rsid w:val="000D6149"/>
    <w:rsid w:val="000D6B7A"/>
    <w:rsid w:val="000E0950"/>
    <w:rsid w:val="000E0FBC"/>
    <w:rsid w:val="000E1FB8"/>
    <w:rsid w:val="000E2485"/>
    <w:rsid w:val="000E4A98"/>
    <w:rsid w:val="000F0519"/>
    <w:rsid w:val="000F0AAF"/>
    <w:rsid w:val="000F241B"/>
    <w:rsid w:val="000F2A88"/>
    <w:rsid w:val="000F340B"/>
    <w:rsid w:val="000F3C70"/>
    <w:rsid w:val="000F6040"/>
    <w:rsid w:val="000F7769"/>
    <w:rsid w:val="000F7A59"/>
    <w:rsid w:val="000F7D9D"/>
    <w:rsid w:val="00104D75"/>
    <w:rsid w:val="00106687"/>
    <w:rsid w:val="001079F7"/>
    <w:rsid w:val="00112726"/>
    <w:rsid w:val="00112836"/>
    <w:rsid w:val="0011329D"/>
    <w:rsid w:val="00113D5B"/>
    <w:rsid w:val="00114A90"/>
    <w:rsid w:val="001154DE"/>
    <w:rsid w:val="00116175"/>
    <w:rsid w:val="001200FB"/>
    <w:rsid w:val="00120ABB"/>
    <w:rsid w:val="00120EF1"/>
    <w:rsid w:val="00120FC9"/>
    <w:rsid w:val="001215AB"/>
    <w:rsid w:val="0012181F"/>
    <w:rsid w:val="00122384"/>
    <w:rsid w:val="0012305A"/>
    <w:rsid w:val="0012530D"/>
    <w:rsid w:val="001272BB"/>
    <w:rsid w:val="00127BA3"/>
    <w:rsid w:val="001333A8"/>
    <w:rsid w:val="00134B94"/>
    <w:rsid w:val="00140A7D"/>
    <w:rsid w:val="0014279F"/>
    <w:rsid w:val="00143BC6"/>
    <w:rsid w:val="001469B3"/>
    <w:rsid w:val="00146DE7"/>
    <w:rsid w:val="00146EAC"/>
    <w:rsid w:val="00147F4C"/>
    <w:rsid w:val="001504A6"/>
    <w:rsid w:val="00150B2A"/>
    <w:rsid w:val="0015178B"/>
    <w:rsid w:val="001518A7"/>
    <w:rsid w:val="00152073"/>
    <w:rsid w:val="001574B0"/>
    <w:rsid w:val="00162B25"/>
    <w:rsid w:val="00162DCD"/>
    <w:rsid w:val="00163B3E"/>
    <w:rsid w:val="00163BF9"/>
    <w:rsid w:val="00165769"/>
    <w:rsid w:val="001660ED"/>
    <w:rsid w:val="0016649A"/>
    <w:rsid w:val="00170242"/>
    <w:rsid w:val="00170941"/>
    <w:rsid w:val="00170A51"/>
    <w:rsid w:val="001716EC"/>
    <w:rsid w:val="00172C4F"/>
    <w:rsid w:val="00172E5B"/>
    <w:rsid w:val="00173D57"/>
    <w:rsid w:val="0017492B"/>
    <w:rsid w:val="00175FB3"/>
    <w:rsid w:val="001762CB"/>
    <w:rsid w:val="001774EC"/>
    <w:rsid w:val="00180D45"/>
    <w:rsid w:val="00184F19"/>
    <w:rsid w:val="0018503C"/>
    <w:rsid w:val="001901E6"/>
    <w:rsid w:val="00190823"/>
    <w:rsid w:val="00190EEC"/>
    <w:rsid w:val="001922C7"/>
    <w:rsid w:val="00192C04"/>
    <w:rsid w:val="00194B33"/>
    <w:rsid w:val="001A0BE4"/>
    <w:rsid w:val="001A0C5B"/>
    <w:rsid w:val="001A1B19"/>
    <w:rsid w:val="001A46E6"/>
    <w:rsid w:val="001A6050"/>
    <w:rsid w:val="001B0443"/>
    <w:rsid w:val="001B069C"/>
    <w:rsid w:val="001B0D10"/>
    <w:rsid w:val="001B281E"/>
    <w:rsid w:val="001B5966"/>
    <w:rsid w:val="001B5AA1"/>
    <w:rsid w:val="001B682B"/>
    <w:rsid w:val="001C1DAC"/>
    <w:rsid w:val="001C292D"/>
    <w:rsid w:val="001C50F4"/>
    <w:rsid w:val="001C6546"/>
    <w:rsid w:val="001D0C95"/>
    <w:rsid w:val="001D0FDD"/>
    <w:rsid w:val="001D27AE"/>
    <w:rsid w:val="001D4107"/>
    <w:rsid w:val="001D431C"/>
    <w:rsid w:val="001D452C"/>
    <w:rsid w:val="001D74A9"/>
    <w:rsid w:val="001D74EE"/>
    <w:rsid w:val="001D7D6B"/>
    <w:rsid w:val="001E0212"/>
    <w:rsid w:val="001E422D"/>
    <w:rsid w:val="001E642D"/>
    <w:rsid w:val="001F0507"/>
    <w:rsid w:val="001F4536"/>
    <w:rsid w:val="001F5B02"/>
    <w:rsid w:val="001F619A"/>
    <w:rsid w:val="00200692"/>
    <w:rsid w:val="002008A6"/>
    <w:rsid w:val="00200CBF"/>
    <w:rsid w:val="00201CFB"/>
    <w:rsid w:val="00202088"/>
    <w:rsid w:val="00202C66"/>
    <w:rsid w:val="00204F7A"/>
    <w:rsid w:val="00206E83"/>
    <w:rsid w:val="00211FBA"/>
    <w:rsid w:val="00212BD9"/>
    <w:rsid w:val="00212EFB"/>
    <w:rsid w:val="0021674C"/>
    <w:rsid w:val="00220B85"/>
    <w:rsid w:val="002227F0"/>
    <w:rsid w:val="00223E03"/>
    <w:rsid w:val="00224FD9"/>
    <w:rsid w:val="002358B1"/>
    <w:rsid w:val="00235DCE"/>
    <w:rsid w:val="00236408"/>
    <w:rsid w:val="00236E22"/>
    <w:rsid w:val="00240C57"/>
    <w:rsid w:val="00241BF4"/>
    <w:rsid w:val="00243986"/>
    <w:rsid w:val="00243CD6"/>
    <w:rsid w:val="00244190"/>
    <w:rsid w:val="0024498F"/>
    <w:rsid w:val="0024576D"/>
    <w:rsid w:val="002545B7"/>
    <w:rsid w:val="00254B4D"/>
    <w:rsid w:val="00255C3F"/>
    <w:rsid w:val="00256F17"/>
    <w:rsid w:val="00257F9D"/>
    <w:rsid w:val="00260DB5"/>
    <w:rsid w:val="002625DA"/>
    <w:rsid w:val="00262ADA"/>
    <w:rsid w:val="00262C23"/>
    <w:rsid w:val="00263F8C"/>
    <w:rsid w:val="002656C0"/>
    <w:rsid w:val="00270D97"/>
    <w:rsid w:val="00270F0E"/>
    <w:rsid w:val="00275C0A"/>
    <w:rsid w:val="00276DE0"/>
    <w:rsid w:val="00277947"/>
    <w:rsid w:val="002810E6"/>
    <w:rsid w:val="00283E79"/>
    <w:rsid w:val="00284265"/>
    <w:rsid w:val="0028490D"/>
    <w:rsid w:val="0028543C"/>
    <w:rsid w:val="00290FA2"/>
    <w:rsid w:val="00293041"/>
    <w:rsid w:val="002977D3"/>
    <w:rsid w:val="002A0064"/>
    <w:rsid w:val="002A199D"/>
    <w:rsid w:val="002A23FC"/>
    <w:rsid w:val="002A2DD4"/>
    <w:rsid w:val="002A6C40"/>
    <w:rsid w:val="002B0320"/>
    <w:rsid w:val="002B0850"/>
    <w:rsid w:val="002B1DAC"/>
    <w:rsid w:val="002B40AE"/>
    <w:rsid w:val="002B5265"/>
    <w:rsid w:val="002B6259"/>
    <w:rsid w:val="002B6263"/>
    <w:rsid w:val="002B667A"/>
    <w:rsid w:val="002B67CC"/>
    <w:rsid w:val="002C462A"/>
    <w:rsid w:val="002C756F"/>
    <w:rsid w:val="002D0F35"/>
    <w:rsid w:val="002D1978"/>
    <w:rsid w:val="002D2292"/>
    <w:rsid w:val="002D3DD5"/>
    <w:rsid w:val="002D4736"/>
    <w:rsid w:val="002E4F62"/>
    <w:rsid w:val="002E667A"/>
    <w:rsid w:val="002F05D9"/>
    <w:rsid w:val="002F1520"/>
    <w:rsid w:val="002F1AC3"/>
    <w:rsid w:val="002F27A0"/>
    <w:rsid w:val="002F3912"/>
    <w:rsid w:val="002F3E48"/>
    <w:rsid w:val="002F4CAB"/>
    <w:rsid w:val="00300AB5"/>
    <w:rsid w:val="00301A0F"/>
    <w:rsid w:val="00303295"/>
    <w:rsid w:val="00303DC0"/>
    <w:rsid w:val="003044A5"/>
    <w:rsid w:val="00305B66"/>
    <w:rsid w:val="00310636"/>
    <w:rsid w:val="00311C69"/>
    <w:rsid w:val="00312A61"/>
    <w:rsid w:val="003133C4"/>
    <w:rsid w:val="00314DE0"/>
    <w:rsid w:val="003172CD"/>
    <w:rsid w:val="00320B24"/>
    <w:rsid w:val="0032647C"/>
    <w:rsid w:val="00331B87"/>
    <w:rsid w:val="00332A10"/>
    <w:rsid w:val="003333FA"/>
    <w:rsid w:val="003337E0"/>
    <w:rsid w:val="003339C8"/>
    <w:rsid w:val="00333F0D"/>
    <w:rsid w:val="00335E09"/>
    <w:rsid w:val="00336DD5"/>
    <w:rsid w:val="00342F4C"/>
    <w:rsid w:val="00350E29"/>
    <w:rsid w:val="0035219E"/>
    <w:rsid w:val="00353276"/>
    <w:rsid w:val="003612EF"/>
    <w:rsid w:val="00361AC7"/>
    <w:rsid w:val="00361EAC"/>
    <w:rsid w:val="003672C6"/>
    <w:rsid w:val="00370EF4"/>
    <w:rsid w:val="0037142A"/>
    <w:rsid w:val="00371B1A"/>
    <w:rsid w:val="00375DDC"/>
    <w:rsid w:val="0037616C"/>
    <w:rsid w:val="003763D7"/>
    <w:rsid w:val="00377329"/>
    <w:rsid w:val="00383A05"/>
    <w:rsid w:val="003850AA"/>
    <w:rsid w:val="00387F71"/>
    <w:rsid w:val="003948AD"/>
    <w:rsid w:val="00397133"/>
    <w:rsid w:val="00397CC3"/>
    <w:rsid w:val="00397F6D"/>
    <w:rsid w:val="003A031B"/>
    <w:rsid w:val="003A04BA"/>
    <w:rsid w:val="003A1A62"/>
    <w:rsid w:val="003A1E74"/>
    <w:rsid w:val="003A242F"/>
    <w:rsid w:val="003A5373"/>
    <w:rsid w:val="003A6331"/>
    <w:rsid w:val="003A7DA1"/>
    <w:rsid w:val="003A7E6D"/>
    <w:rsid w:val="003B333C"/>
    <w:rsid w:val="003C0D74"/>
    <w:rsid w:val="003C1DF5"/>
    <w:rsid w:val="003C2817"/>
    <w:rsid w:val="003C2901"/>
    <w:rsid w:val="003C2D7F"/>
    <w:rsid w:val="003C5ABC"/>
    <w:rsid w:val="003D02F9"/>
    <w:rsid w:val="003D1920"/>
    <w:rsid w:val="003D310C"/>
    <w:rsid w:val="003D42D9"/>
    <w:rsid w:val="003D44FB"/>
    <w:rsid w:val="003D5B21"/>
    <w:rsid w:val="003D6563"/>
    <w:rsid w:val="003D7558"/>
    <w:rsid w:val="003E4CD1"/>
    <w:rsid w:val="003E6A27"/>
    <w:rsid w:val="003E7B52"/>
    <w:rsid w:val="003F03E5"/>
    <w:rsid w:val="003F04E8"/>
    <w:rsid w:val="003F1F61"/>
    <w:rsid w:val="003F3640"/>
    <w:rsid w:val="003F52B7"/>
    <w:rsid w:val="003F5F4F"/>
    <w:rsid w:val="003F6D94"/>
    <w:rsid w:val="003F7575"/>
    <w:rsid w:val="003F78AA"/>
    <w:rsid w:val="0040138D"/>
    <w:rsid w:val="00404B48"/>
    <w:rsid w:val="00407193"/>
    <w:rsid w:val="00407A97"/>
    <w:rsid w:val="00412860"/>
    <w:rsid w:val="00413B6D"/>
    <w:rsid w:val="00413F2F"/>
    <w:rsid w:val="00415E39"/>
    <w:rsid w:val="00423817"/>
    <w:rsid w:val="0042469E"/>
    <w:rsid w:val="004263F7"/>
    <w:rsid w:val="004267C9"/>
    <w:rsid w:val="0043072F"/>
    <w:rsid w:val="00434262"/>
    <w:rsid w:val="00434559"/>
    <w:rsid w:val="004352F6"/>
    <w:rsid w:val="004364D2"/>
    <w:rsid w:val="0044015A"/>
    <w:rsid w:val="00442EE9"/>
    <w:rsid w:val="004432FB"/>
    <w:rsid w:val="00443716"/>
    <w:rsid w:val="00450555"/>
    <w:rsid w:val="004506E3"/>
    <w:rsid w:val="00450D14"/>
    <w:rsid w:val="004550CA"/>
    <w:rsid w:val="00462F5E"/>
    <w:rsid w:val="00464169"/>
    <w:rsid w:val="00472F5A"/>
    <w:rsid w:val="0047346E"/>
    <w:rsid w:val="004747EF"/>
    <w:rsid w:val="00477FC5"/>
    <w:rsid w:val="0048203A"/>
    <w:rsid w:val="0048322F"/>
    <w:rsid w:val="00484AF7"/>
    <w:rsid w:val="004850FD"/>
    <w:rsid w:val="0048710E"/>
    <w:rsid w:val="00490F23"/>
    <w:rsid w:val="004A49E4"/>
    <w:rsid w:val="004A585E"/>
    <w:rsid w:val="004A5B88"/>
    <w:rsid w:val="004A6B0B"/>
    <w:rsid w:val="004B0F56"/>
    <w:rsid w:val="004B14EB"/>
    <w:rsid w:val="004B274D"/>
    <w:rsid w:val="004B45D5"/>
    <w:rsid w:val="004B47A5"/>
    <w:rsid w:val="004B52E5"/>
    <w:rsid w:val="004B5EF9"/>
    <w:rsid w:val="004C1D68"/>
    <w:rsid w:val="004C3B37"/>
    <w:rsid w:val="004C559A"/>
    <w:rsid w:val="004D203A"/>
    <w:rsid w:val="004D4DAC"/>
    <w:rsid w:val="004D5AA8"/>
    <w:rsid w:val="004D6918"/>
    <w:rsid w:val="004D76F1"/>
    <w:rsid w:val="004D77A1"/>
    <w:rsid w:val="004D7AEF"/>
    <w:rsid w:val="004E01D8"/>
    <w:rsid w:val="004E2D9B"/>
    <w:rsid w:val="004E3396"/>
    <w:rsid w:val="004F0BD8"/>
    <w:rsid w:val="004F0CA3"/>
    <w:rsid w:val="004F210C"/>
    <w:rsid w:val="004F2FF4"/>
    <w:rsid w:val="004F30B9"/>
    <w:rsid w:val="004F68AA"/>
    <w:rsid w:val="004F78AF"/>
    <w:rsid w:val="00500858"/>
    <w:rsid w:val="00501185"/>
    <w:rsid w:val="00501DD2"/>
    <w:rsid w:val="0050253B"/>
    <w:rsid w:val="0050293E"/>
    <w:rsid w:val="005036E9"/>
    <w:rsid w:val="0050505C"/>
    <w:rsid w:val="00506578"/>
    <w:rsid w:val="00507A7A"/>
    <w:rsid w:val="005106F8"/>
    <w:rsid w:val="005108E5"/>
    <w:rsid w:val="0051103E"/>
    <w:rsid w:val="005136DD"/>
    <w:rsid w:val="00515108"/>
    <w:rsid w:val="005167DD"/>
    <w:rsid w:val="00517770"/>
    <w:rsid w:val="0052572F"/>
    <w:rsid w:val="005270AB"/>
    <w:rsid w:val="0052772C"/>
    <w:rsid w:val="005304A7"/>
    <w:rsid w:val="00532183"/>
    <w:rsid w:val="00532326"/>
    <w:rsid w:val="005363AE"/>
    <w:rsid w:val="00536A22"/>
    <w:rsid w:val="00536F52"/>
    <w:rsid w:val="00541DB8"/>
    <w:rsid w:val="00541E03"/>
    <w:rsid w:val="00542210"/>
    <w:rsid w:val="00542512"/>
    <w:rsid w:val="00543138"/>
    <w:rsid w:val="00545BB8"/>
    <w:rsid w:val="00550E91"/>
    <w:rsid w:val="00551B8B"/>
    <w:rsid w:val="005522BF"/>
    <w:rsid w:val="00552A35"/>
    <w:rsid w:val="00553C6C"/>
    <w:rsid w:val="00555137"/>
    <w:rsid w:val="005556F6"/>
    <w:rsid w:val="0055655D"/>
    <w:rsid w:val="00557143"/>
    <w:rsid w:val="0056245C"/>
    <w:rsid w:val="00562768"/>
    <w:rsid w:val="00563F8D"/>
    <w:rsid w:val="00565DBD"/>
    <w:rsid w:val="00570AFB"/>
    <w:rsid w:val="005724E6"/>
    <w:rsid w:val="00572AEC"/>
    <w:rsid w:val="0057661B"/>
    <w:rsid w:val="00577EB0"/>
    <w:rsid w:val="00582260"/>
    <w:rsid w:val="005906B7"/>
    <w:rsid w:val="00590834"/>
    <w:rsid w:val="00591987"/>
    <w:rsid w:val="005926E1"/>
    <w:rsid w:val="00595554"/>
    <w:rsid w:val="0059612E"/>
    <w:rsid w:val="00596185"/>
    <w:rsid w:val="00596596"/>
    <w:rsid w:val="00597661"/>
    <w:rsid w:val="005A1CAD"/>
    <w:rsid w:val="005A397D"/>
    <w:rsid w:val="005A4674"/>
    <w:rsid w:val="005A4ACE"/>
    <w:rsid w:val="005A4FA1"/>
    <w:rsid w:val="005A5CEA"/>
    <w:rsid w:val="005A78F8"/>
    <w:rsid w:val="005B0501"/>
    <w:rsid w:val="005B6DD7"/>
    <w:rsid w:val="005B7ECA"/>
    <w:rsid w:val="005C0C59"/>
    <w:rsid w:val="005C1708"/>
    <w:rsid w:val="005C39C7"/>
    <w:rsid w:val="005C3DBD"/>
    <w:rsid w:val="005C688E"/>
    <w:rsid w:val="005C7D6B"/>
    <w:rsid w:val="005D040A"/>
    <w:rsid w:val="005D2B73"/>
    <w:rsid w:val="005D3118"/>
    <w:rsid w:val="005D5606"/>
    <w:rsid w:val="005D6F09"/>
    <w:rsid w:val="005D6F6B"/>
    <w:rsid w:val="005E1884"/>
    <w:rsid w:val="005E1E98"/>
    <w:rsid w:val="005E4BE3"/>
    <w:rsid w:val="005E5379"/>
    <w:rsid w:val="005E5C21"/>
    <w:rsid w:val="005E6658"/>
    <w:rsid w:val="005E6F45"/>
    <w:rsid w:val="005E7471"/>
    <w:rsid w:val="005F1B0A"/>
    <w:rsid w:val="005F2CE0"/>
    <w:rsid w:val="005F591C"/>
    <w:rsid w:val="005F659C"/>
    <w:rsid w:val="0060033A"/>
    <w:rsid w:val="006006C1"/>
    <w:rsid w:val="0060192A"/>
    <w:rsid w:val="00602F22"/>
    <w:rsid w:val="006035AB"/>
    <w:rsid w:val="00603FE2"/>
    <w:rsid w:val="00605706"/>
    <w:rsid w:val="00605D68"/>
    <w:rsid w:val="00606077"/>
    <w:rsid w:val="006078CA"/>
    <w:rsid w:val="00607F77"/>
    <w:rsid w:val="006145B0"/>
    <w:rsid w:val="006160B1"/>
    <w:rsid w:val="00621E3D"/>
    <w:rsid w:val="0062515E"/>
    <w:rsid w:val="00625C28"/>
    <w:rsid w:val="0063059D"/>
    <w:rsid w:val="00630C5E"/>
    <w:rsid w:val="0063308B"/>
    <w:rsid w:val="00633A23"/>
    <w:rsid w:val="006349CE"/>
    <w:rsid w:val="0063523C"/>
    <w:rsid w:val="00636670"/>
    <w:rsid w:val="0064399D"/>
    <w:rsid w:val="00644AD2"/>
    <w:rsid w:val="00644CD7"/>
    <w:rsid w:val="0065392C"/>
    <w:rsid w:val="00653C34"/>
    <w:rsid w:val="006549FA"/>
    <w:rsid w:val="006554A2"/>
    <w:rsid w:val="006557CB"/>
    <w:rsid w:val="00660217"/>
    <w:rsid w:val="00661A3D"/>
    <w:rsid w:val="00661EF0"/>
    <w:rsid w:val="00661F3E"/>
    <w:rsid w:val="00663228"/>
    <w:rsid w:val="00663808"/>
    <w:rsid w:val="00665D7F"/>
    <w:rsid w:val="006672E2"/>
    <w:rsid w:val="00671BDD"/>
    <w:rsid w:val="00672E70"/>
    <w:rsid w:val="0067432D"/>
    <w:rsid w:val="00680145"/>
    <w:rsid w:val="006806BE"/>
    <w:rsid w:val="00681A32"/>
    <w:rsid w:val="0068322F"/>
    <w:rsid w:val="00683CF7"/>
    <w:rsid w:val="00683F1C"/>
    <w:rsid w:val="006840AE"/>
    <w:rsid w:val="0068458D"/>
    <w:rsid w:val="00684884"/>
    <w:rsid w:val="00685293"/>
    <w:rsid w:val="00685349"/>
    <w:rsid w:val="006857F1"/>
    <w:rsid w:val="00686DCA"/>
    <w:rsid w:val="0069151A"/>
    <w:rsid w:val="00695092"/>
    <w:rsid w:val="0069681A"/>
    <w:rsid w:val="00696AFB"/>
    <w:rsid w:val="00696E9D"/>
    <w:rsid w:val="006A68E0"/>
    <w:rsid w:val="006A71D7"/>
    <w:rsid w:val="006B1009"/>
    <w:rsid w:val="006B21F4"/>
    <w:rsid w:val="006B4872"/>
    <w:rsid w:val="006C0C00"/>
    <w:rsid w:val="006C3AEE"/>
    <w:rsid w:val="006C4748"/>
    <w:rsid w:val="006C49D6"/>
    <w:rsid w:val="006C5702"/>
    <w:rsid w:val="006C5C13"/>
    <w:rsid w:val="006D21F6"/>
    <w:rsid w:val="006D414F"/>
    <w:rsid w:val="006D77C3"/>
    <w:rsid w:val="006D7B1C"/>
    <w:rsid w:val="006E20A1"/>
    <w:rsid w:val="006E4200"/>
    <w:rsid w:val="006E5FAF"/>
    <w:rsid w:val="006E7BC2"/>
    <w:rsid w:val="006F092C"/>
    <w:rsid w:val="006F0EA6"/>
    <w:rsid w:val="006F24DC"/>
    <w:rsid w:val="006F65C2"/>
    <w:rsid w:val="00700170"/>
    <w:rsid w:val="00700454"/>
    <w:rsid w:val="007006A7"/>
    <w:rsid w:val="00701196"/>
    <w:rsid w:val="00702F60"/>
    <w:rsid w:val="007036C2"/>
    <w:rsid w:val="00707F53"/>
    <w:rsid w:val="0071163A"/>
    <w:rsid w:val="00712A94"/>
    <w:rsid w:val="0071356D"/>
    <w:rsid w:val="00713A00"/>
    <w:rsid w:val="007141D3"/>
    <w:rsid w:val="00714267"/>
    <w:rsid w:val="007145F8"/>
    <w:rsid w:val="00715DA7"/>
    <w:rsid w:val="00715E21"/>
    <w:rsid w:val="0071705C"/>
    <w:rsid w:val="0071723E"/>
    <w:rsid w:val="0071749A"/>
    <w:rsid w:val="00717796"/>
    <w:rsid w:val="00722B54"/>
    <w:rsid w:val="00722CFF"/>
    <w:rsid w:val="00724116"/>
    <w:rsid w:val="00724BAA"/>
    <w:rsid w:val="00724CCB"/>
    <w:rsid w:val="007253C6"/>
    <w:rsid w:val="007257CE"/>
    <w:rsid w:val="00731D72"/>
    <w:rsid w:val="00731DC1"/>
    <w:rsid w:val="00734888"/>
    <w:rsid w:val="00735ACE"/>
    <w:rsid w:val="0073660F"/>
    <w:rsid w:val="00740735"/>
    <w:rsid w:val="007415CC"/>
    <w:rsid w:val="00747367"/>
    <w:rsid w:val="00750134"/>
    <w:rsid w:val="007511CF"/>
    <w:rsid w:val="00753A85"/>
    <w:rsid w:val="0075547C"/>
    <w:rsid w:val="00755A30"/>
    <w:rsid w:val="00756550"/>
    <w:rsid w:val="00756E63"/>
    <w:rsid w:val="00761700"/>
    <w:rsid w:val="007626F7"/>
    <w:rsid w:val="00762DE4"/>
    <w:rsid w:val="007665D7"/>
    <w:rsid w:val="00767CB2"/>
    <w:rsid w:val="00770B24"/>
    <w:rsid w:val="0077104C"/>
    <w:rsid w:val="00771150"/>
    <w:rsid w:val="00772236"/>
    <w:rsid w:val="00774EB5"/>
    <w:rsid w:val="007751BB"/>
    <w:rsid w:val="00775DB3"/>
    <w:rsid w:val="00781C75"/>
    <w:rsid w:val="00781F93"/>
    <w:rsid w:val="00785888"/>
    <w:rsid w:val="00786803"/>
    <w:rsid w:val="00796062"/>
    <w:rsid w:val="007A0557"/>
    <w:rsid w:val="007A09B1"/>
    <w:rsid w:val="007A24AE"/>
    <w:rsid w:val="007A5674"/>
    <w:rsid w:val="007B2F83"/>
    <w:rsid w:val="007B73FF"/>
    <w:rsid w:val="007C23B4"/>
    <w:rsid w:val="007C27C0"/>
    <w:rsid w:val="007C4228"/>
    <w:rsid w:val="007C6E24"/>
    <w:rsid w:val="007D0172"/>
    <w:rsid w:val="007D0CB4"/>
    <w:rsid w:val="007D3781"/>
    <w:rsid w:val="007D4CFD"/>
    <w:rsid w:val="007D5EC4"/>
    <w:rsid w:val="007D6BAE"/>
    <w:rsid w:val="007E0B3C"/>
    <w:rsid w:val="007E13B7"/>
    <w:rsid w:val="007E426D"/>
    <w:rsid w:val="007E550A"/>
    <w:rsid w:val="007E5A25"/>
    <w:rsid w:val="007E6CC2"/>
    <w:rsid w:val="007F081F"/>
    <w:rsid w:val="007F5DAD"/>
    <w:rsid w:val="00804389"/>
    <w:rsid w:val="008063DF"/>
    <w:rsid w:val="00810582"/>
    <w:rsid w:val="0081096E"/>
    <w:rsid w:val="008144A6"/>
    <w:rsid w:val="008162B8"/>
    <w:rsid w:val="0082083F"/>
    <w:rsid w:val="00822E43"/>
    <w:rsid w:val="008230BB"/>
    <w:rsid w:val="00823852"/>
    <w:rsid w:val="0082397D"/>
    <w:rsid w:val="00823CF3"/>
    <w:rsid w:val="00824B23"/>
    <w:rsid w:val="00824D80"/>
    <w:rsid w:val="00826486"/>
    <w:rsid w:val="00826BE0"/>
    <w:rsid w:val="008272EB"/>
    <w:rsid w:val="00827654"/>
    <w:rsid w:val="00827C0B"/>
    <w:rsid w:val="0083078C"/>
    <w:rsid w:val="00830FFE"/>
    <w:rsid w:val="00836E2C"/>
    <w:rsid w:val="0084099E"/>
    <w:rsid w:val="00843D75"/>
    <w:rsid w:val="008503AB"/>
    <w:rsid w:val="00853030"/>
    <w:rsid w:val="00855807"/>
    <w:rsid w:val="00857232"/>
    <w:rsid w:val="008612EA"/>
    <w:rsid w:val="008615E3"/>
    <w:rsid w:val="00861674"/>
    <w:rsid w:val="0086230D"/>
    <w:rsid w:val="0086522E"/>
    <w:rsid w:val="00865486"/>
    <w:rsid w:val="0086561D"/>
    <w:rsid w:val="00865E7B"/>
    <w:rsid w:val="00866758"/>
    <w:rsid w:val="00870892"/>
    <w:rsid w:val="00871B9A"/>
    <w:rsid w:val="008726AC"/>
    <w:rsid w:val="00873861"/>
    <w:rsid w:val="00874D56"/>
    <w:rsid w:val="0087563A"/>
    <w:rsid w:val="008765E4"/>
    <w:rsid w:val="00876BB9"/>
    <w:rsid w:val="008774AD"/>
    <w:rsid w:val="00877BEC"/>
    <w:rsid w:val="00880F8B"/>
    <w:rsid w:val="00881A73"/>
    <w:rsid w:val="00883181"/>
    <w:rsid w:val="00884034"/>
    <w:rsid w:val="00886774"/>
    <w:rsid w:val="00890438"/>
    <w:rsid w:val="00890FFE"/>
    <w:rsid w:val="008914CC"/>
    <w:rsid w:val="00891B72"/>
    <w:rsid w:val="00893731"/>
    <w:rsid w:val="00893CA3"/>
    <w:rsid w:val="008958F7"/>
    <w:rsid w:val="00895D8E"/>
    <w:rsid w:val="00897172"/>
    <w:rsid w:val="008A02A5"/>
    <w:rsid w:val="008A0EFB"/>
    <w:rsid w:val="008A2F09"/>
    <w:rsid w:val="008A38D9"/>
    <w:rsid w:val="008A6B3D"/>
    <w:rsid w:val="008B00FF"/>
    <w:rsid w:val="008B4A2F"/>
    <w:rsid w:val="008B78E5"/>
    <w:rsid w:val="008C5705"/>
    <w:rsid w:val="008C57E1"/>
    <w:rsid w:val="008D0407"/>
    <w:rsid w:val="008D07D5"/>
    <w:rsid w:val="008D17CD"/>
    <w:rsid w:val="008D42D1"/>
    <w:rsid w:val="008D432D"/>
    <w:rsid w:val="008D4486"/>
    <w:rsid w:val="008D5110"/>
    <w:rsid w:val="008E20CB"/>
    <w:rsid w:val="008E2992"/>
    <w:rsid w:val="008E375E"/>
    <w:rsid w:val="008E550C"/>
    <w:rsid w:val="008E5B8F"/>
    <w:rsid w:val="008E70DF"/>
    <w:rsid w:val="008E78A2"/>
    <w:rsid w:val="008F0271"/>
    <w:rsid w:val="008F0D6A"/>
    <w:rsid w:val="008F14C0"/>
    <w:rsid w:val="008F4223"/>
    <w:rsid w:val="008F4270"/>
    <w:rsid w:val="008F4399"/>
    <w:rsid w:val="00900F22"/>
    <w:rsid w:val="00902F6C"/>
    <w:rsid w:val="0090612C"/>
    <w:rsid w:val="00912166"/>
    <w:rsid w:val="0091351A"/>
    <w:rsid w:val="00915AEB"/>
    <w:rsid w:val="00920A1E"/>
    <w:rsid w:val="00926A6C"/>
    <w:rsid w:val="00930719"/>
    <w:rsid w:val="0093304E"/>
    <w:rsid w:val="009337A6"/>
    <w:rsid w:val="00933D0F"/>
    <w:rsid w:val="00934526"/>
    <w:rsid w:val="00934D37"/>
    <w:rsid w:val="00935063"/>
    <w:rsid w:val="00936169"/>
    <w:rsid w:val="00936755"/>
    <w:rsid w:val="00937032"/>
    <w:rsid w:val="009370D8"/>
    <w:rsid w:val="00940613"/>
    <w:rsid w:val="009446ED"/>
    <w:rsid w:val="00944CDF"/>
    <w:rsid w:val="00946061"/>
    <w:rsid w:val="0094692E"/>
    <w:rsid w:val="00947F7C"/>
    <w:rsid w:val="00950D8B"/>
    <w:rsid w:val="00952E58"/>
    <w:rsid w:val="0095625D"/>
    <w:rsid w:val="00957597"/>
    <w:rsid w:val="00961CA1"/>
    <w:rsid w:val="00962EF7"/>
    <w:rsid w:val="00965034"/>
    <w:rsid w:val="0096746C"/>
    <w:rsid w:val="00967BD4"/>
    <w:rsid w:val="009744B1"/>
    <w:rsid w:val="00974E82"/>
    <w:rsid w:val="0097538C"/>
    <w:rsid w:val="009757B8"/>
    <w:rsid w:val="00985F13"/>
    <w:rsid w:val="00987B73"/>
    <w:rsid w:val="00987C64"/>
    <w:rsid w:val="0099161D"/>
    <w:rsid w:val="009917CE"/>
    <w:rsid w:val="00991CA9"/>
    <w:rsid w:val="0099323A"/>
    <w:rsid w:val="00995DA2"/>
    <w:rsid w:val="00997204"/>
    <w:rsid w:val="009974EF"/>
    <w:rsid w:val="009A030B"/>
    <w:rsid w:val="009A1682"/>
    <w:rsid w:val="009A2839"/>
    <w:rsid w:val="009A2972"/>
    <w:rsid w:val="009A34AA"/>
    <w:rsid w:val="009B320D"/>
    <w:rsid w:val="009C0589"/>
    <w:rsid w:val="009C0AD8"/>
    <w:rsid w:val="009C3092"/>
    <w:rsid w:val="009C4A45"/>
    <w:rsid w:val="009C4CC7"/>
    <w:rsid w:val="009C7C5D"/>
    <w:rsid w:val="009D322A"/>
    <w:rsid w:val="009D3C92"/>
    <w:rsid w:val="009D4036"/>
    <w:rsid w:val="009D4F02"/>
    <w:rsid w:val="009D5479"/>
    <w:rsid w:val="009D6E5A"/>
    <w:rsid w:val="009D786A"/>
    <w:rsid w:val="009E4784"/>
    <w:rsid w:val="009E4CF8"/>
    <w:rsid w:val="009E7733"/>
    <w:rsid w:val="009E7F8B"/>
    <w:rsid w:val="009F0666"/>
    <w:rsid w:val="009F0B86"/>
    <w:rsid w:val="009F1D3A"/>
    <w:rsid w:val="009F3974"/>
    <w:rsid w:val="009F4951"/>
    <w:rsid w:val="009F4BF7"/>
    <w:rsid w:val="009F58A7"/>
    <w:rsid w:val="009F671C"/>
    <w:rsid w:val="009F6BE6"/>
    <w:rsid w:val="009F6E6B"/>
    <w:rsid w:val="009F73B3"/>
    <w:rsid w:val="00A00459"/>
    <w:rsid w:val="00A02051"/>
    <w:rsid w:val="00A10AE6"/>
    <w:rsid w:val="00A1499A"/>
    <w:rsid w:val="00A151C4"/>
    <w:rsid w:val="00A17707"/>
    <w:rsid w:val="00A227D5"/>
    <w:rsid w:val="00A23858"/>
    <w:rsid w:val="00A25D7D"/>
    <w:rsid w:val="00A26702"/>
    <w:rsid w:val="00A33C55"/>
    <w:rsid w:val="00A34CE7"/>
    <w:rsid w:val="00A366E5"/>
    <w:rsid w:val="00A3675B"/>
    <w:rsid w:val="00A36D18"/>
    <w:rsid w:val="00A36DE9"/>
    <w:rsid w:val="00A40AE8"/>
    <w:rsid w:val="00A40BCE"/>
    <w:rsid w:val="00A412FD"/>
    <w:rsid w:val="00A46E1F"/>
    <w:rsid w:val="00A47686"/>
    <w:rsid w:val="00A479B2"/>
    <w:rsid w:val="00A50EF5"/>
    <w:rsid w:val="00A5198A"/>
    <w:rsid w:val="00A53C29"/>
    <w:rsid w:val="00A54E6C"/>
    <w:rsid w:val="00A5526A"/>
    <w:rsid w:val="00A55BFA"/>
    <w:rsid w:val="00A575A0"/>
    <w:rsid w:val="00A60521"/>
    <w:rsid w:val="00A70FAE"/>
    <w:rsid w:val="00A75BEC"/>
    <w:rsid w:val="00A81064"/>
    <w:rsid w:val="00A82CE9"/>
    <w:rsid w:val="00A854B4"/>
    <w:rsid w:val="00A85C8F"/>
    <w:rsid w:val="00A872D9"/>
    <w:rsid w:val="00A87C21"/>
    <w:rsid w:val="00A87EB6"/>
    <w:rsid w:val="00A902BD"/>
    <w:rsid w:val="00A92EFD"/>
    <w:rsid w:val="00A951B7"/>
    <w:rsid w:val="00A97654"/>
    <w:rsid w:val="00AA0582"/>
    <w:rsid w:val="00AA1433"/>
    <w:rsid w:val="00AA2126"/>
    <w:rsid w:val="00AA25FB"/>
    <w:rsid w:val="00AA3EF5"/>
    <w:rsid w:val="00AA4328"/>
    <w:rsid w:val="00AB07EC"/>
    <w:rsid w:val="00AB0895"/>
    <w:rsid w:val="00AB2282"/>
    <w:rsid w:val="00AB2549"/>
    <w:rsid w:val="00AB2840"/>
    <w:rsid w:val="00AB3755"/>
    <w:rsid w:val="00AB5C65"/>
    <w:rsid w:val="00AB6D18"/>
    <w:rsid w:val="00AB74A6"/>
    <w:rsid w:val="00AB7531"/>
    <w:rsid w:val="00AC64F7"/>
    <w:rsid w:val="00AC76F0"/>
    <w:rsid w:val="00AD2300"/>
    <w:rsid w:val="00AD47A7"/>
    <w:rsid w:val="00AD4E78"/>
    <w:rsid w:val="00AD5144"/>
    <w:rsid w:val="00AD7EB1"/>
    <w:rsid w:val="00AD7F22"/>
    <w:rsid w:val="00AE12D5"/>
    <w:rsid w:val="00AE4CED"/>
    <w:rsid w:val="00AE598C"/>
    <w:rsid w:val="00AF0E88"/>
    <w:rsid w:val="00AF4E6E"/>
    <w:rsid w:val="00AF52C6"/>
    <w:rsid w:val="00AF5B64"/>
    <w:rsid w:val="00AF68C8"/>
    <w:rsid w:val="00B0057A"/>
    <w:rsid w:val="00B00FCF"/>
    <w:rsid w:val="00B02083"/>
    <w:rsid w:val="00B04EC6"/>
    <w:rsid w:val="00B066AF"/>
    <w:rsid w:val="00B13A24"/>
    <w:rsid w:val="00B1518E"/>
    <w:rsid w:val="00B164AA"/>
    <w:rsid w:val="00B171F5"/>
    <w:rsid w:val="00B17869"/>
    <w:rsid w:val="00B23537"/>
    <w:rsid w:val="00B24814"/>
    <w:rsid w:val="00B24A48"/>
    <w:rsid w:val="00B25571"/>
    <w:rsid w:val="00B33791"/>
    <w:rsid w:val="00B341ED"/>
    <w:rsid w:val="00B34374"/>
    <w:rsid w:val="00B407B1"/>
    <w:rsid w:val="00B430EE"/>
    <w:rsid w:val="00B474CE"/>
    <w:rsid w:val="00B47928"/>
    <w:rsid w:val="00B50439"/>
    <w:rsid w:val="00B51C92"/>
    <w:rsid w:val="00B62297"/>
    <w:rsid w:val="00B625A0"/>
    <w:rsid w:val="00B637D4"/>
    <w:rsid w:val="00B65AF7"/>
    <w:rsid w:val="00B66BF3"/>
    <w:rsid w:val="00B67391"/>
    <w:rsid w:val="00B67C34"/>
    <w:rsid w:val="00B7108C"/>
    <w:rsid w:val="00B72C9F"/>
    <w:rsid w:val="00B77DCA"/>
    <w:rsid w:val="00B81A2C"/>
    <w:rsid w:val="00B82247"/>
    <w:rsid w:val="00B8449D"/>
    <w:rsid w:val="00B84552"/>
    <w:rsid w:val="00B8598D"/>
    <w:rsid w:val="00B87C88"/>
    <w:rsid w:val="00B92818"/>
    <w:rsid w:val="00B936A9"/>
    <w:rsid w:val="00B93AB5"/>
    <w:rsid w:val="00B9541B"/>
    <w:rsid w:val="00B9549A"/>
    <w:rsid w:val="00B95CEC"/>
    <w:rsid w:val="00B96441"/>
    <w:rsid w:val="00B97872"/>
    <w:rsid w:val="00BA0543"/>
    <w:rsid w:val="00BA0F27"/>
    <w:rsid w:val="00BA1789"/>
    <w:rsid w:val="00BA1D85"/>
    <w:rsid w:val="00BA357A"/>
    <w:rsid w:val="00BA38D7"/>
    <w:rsid w:val="00BA4BA9"/>
    <w:rsid w:val="00BA4F0A"/>
    <w:rsid w:val="00BA5F7F"/>
    <w:rsid w:val="00BB0C22"/>
    <w:rsid w:val="00BB19A1"/>
    <w:rsid w:val="00BB5ADD"/>
    <w:rsid w:val="00BB5E7D"/>
    <w:rsid w:val="00BB7F4B"/>
    <w:rsid w:val="00BC171A"/>
    <w:rsid w:val="00BC3E3A"/>
    <w:rsid w:val="00BC63DC"/>
    <w:rsid w:val="00BC7831"/>
    <w:rsid w:val="00BD00C0"/>
    <w:rsid w:val="00BD18D0"/>
    <w:rsid w:val="00BD26F4"/>
    <w:rsid w:val="00BD32E1"/>
    <w:rsid w:val="00BD434B"/>
    <w:rsid w:val="00BD5101"/>
    <w:rsid w:val="00BD563A"/>
    <w:rsid w:val="00BD6798"/>
    <w:rsid w:val="00BE0C1D"/>
    <w:rsid w:val="00BE1785"/>
    <w:rsid w:val="00BE1B32"/>
    <w:rsid w:val="00BE1D0E"/>
    <w:rsid w:val="00BE5447"/>
    <w:rsid w:val="00BE5AFF"/>
    <w:rsid w:val="00BF1B8B"/>
    <w:rsid w:val="00BF259C"/>
    <w:rsid w:val="00BF5494"/>
    <w:rsid w:val="00C003D4"/>
    <w:rsid w:val="00C008BF"/>
    <w:rsid w:val="00C04367"/>
    <w:rsid w:val="00C05CBA"/>
    <w:rsid w:val="00C10DE5"/>
    <w:rsid w:val="00C12E46"/>
    <w:rsid w:val="00C13653"/>
    <w:rsid w:val="00C13D08"/>
    <w:rsid w:val="00C143AD"/>
    <w:rsid w:val="00C14D3A"/>
    <w:rsid w:val="00C15547"/>
    <w:rsid w:val="00C15C92"/>
    <w:rsid w:val="00C15D4C"/>
    <w:rsid w:val="00C15DF7"/>
    <w:rsid w:val="00C16377"/>
    <w:rsid w:val="00C16BDE"/>
    <w:rsid w:val="00C221BF"/>
    <w:rsid w:val="00C22AAA"/>
    <w:rsid w:val="00C22D82"/>
    <w:rsid w:val="00C23D35"/>
    <w:rsid w:val="00C259E8"/>
    <w:rsid w:val="00C327A8"/>
    <w:rsid w:val="00C328C0"/>
    <w:rsid w:val="00C340E1"/>
    <w:rsid w:val="00C348D9"/>
    <w:rsid w:val="00C34DBF"/>
    <w:rsid w:val="00C34DE3"/>
    <w:rsid w:val="00C36F42"/>
    <w:rsid w:val="00C40123"/>
    <w:rsid w:val="00C42768"/>
    <w:rsid w:val="00C4326E"/>
    <w:rsid w:val="00C43816"/>
    <w:rsid w:val="00C449BF"/>
    <w:rsid w:val="00C45279"/>
    <w:rsid w:val="00C460BC"/>
    <w:rsid w:val="00C46E74"/>
    <w:rsid w:val="00C477AB"/>
    <w:rsid w:val="00C505EC"/>
    <w:rsid w:val="00C51C1C"/>
    <w:rsid w:val="00C57D78"/>
    <w:rsid w:val="00C60CFF"/>
    <w:rsid w:val="00C6143B"/>
    <w:rsid w:val="00C62781"/>
    <w:rsid w:val="00C62A83"/>
    <w:rsid w:val="00C647D7"/>
    <w:rsid w:val="00C65109"/>
    <w:rsid w:val="00C66012"/>
    <w:rsid w:val="00C67BD7"/>
    <w:rsid w:val="00C73C78"/>
    <w:rsid w:val="00C7514F"/>
    <w:rsid w:val="00C82533"/>
    <w:rsid w:val="00C82A52"/>
    <w:rsid w:val="00C84289"/>
    <w:rsid w:val="00C86726"/>
    <w:rsid w:val="00C86A26"/>
    <w:rsid w:val="00C92E1A"/>
    <w:rsid w:val="00C93904"/>
    <w:rsid w:val="00C957DA"/>
    <w:rsid w:val="00CB183A"/>
    <w:rsid w:val="00CB25D0"/>
    <w:rsid w:val="00CB4813"/>
    <w:rsid w:val="00CB5D0E"/>
    <w:rsid w:val="00CB5DD2"/>
    <w:rsid w:val="00CB6B1E"/>
    <w:rsid w:val="00CC585F"/>
    <w:rsid w:val="00CC5C95"/>
    <w:rsid w:val="00CC5E2D"/>
    <w:rsid w:val="00CC707F"/>
    <w:rsid w:val="00CD1499"/>
    <w:rsid w:val="00CD15FF"/>
    <w:rsid w:val="00CD2EC8"/>
    <w:rsid w:val="00CD4A36"/>
    <w:rsid w:val="00CD4C2A"/>
    <w:rsid w:val="00CD7018"/>
    <w:rsid w:val="00CE1C33"/>
    <w:rsid w:val="00CE2883"/>
    <w:rsid w:val="00CE763E"/>
    <w:rsid w:val="00CF2AA8"/>
    <w:rsid w:val="00CF2B24"/>
    <w:rsid w:val="00CF331B"/>
    <w:rsid w:val="00CF3A88"/>
    <w:rsid w:val="00CF5A6A"/>
    <w:rsid w:val="00CF662A"/>
    <w:rsid w:val="00CF6C1C"/>
    <w:rsid w:val="00D01EA1"/>
    <w:rsid w:val="00D029AC"/>
    <w:rsid w:val="00D04142"/>
    <w:rsid w:val="00D115BD"/>
    <w:rsid w:val="00D11C2B"/>
    <w:rsid w:val="00D12A79"/>
    <w:rsid w:val="00D12BC1"/>
    <w:rsid w:val="00D14158"/>
    <w:rsid w:val="00D14395"/>
    <w:rsid w:val="00D14D94"/>
    <w:rsid w:val="00D15840"/>
    <w:rsid w:val="00D15C2C"/>
    <w:rsid w:val="00D171E7"/>
    <w:rsid w:val="00D17442"/>
    <w:rsid w:val="00D17FF1"/>
    <w:rsid w:val="00D238A1"/>
    <w:rsid w:val="00D24DAE"/>
    <w:rsid w:val="00D25D35"/>
    <w:rsid w:val="00D272F2"/>
    <w:rsid w:val="00D300D5"/>
    <w:rsid w:val="00D30216"/>
    <w:rsid w:val="00D309B6"/>
    <w:rsid w:val="00D30ED6"/>
    <w:rsid w:val="00D30F7E"/>
    <w:rsid w:val="00D31009"/>
    <w:rsid w:val="00D313C3"/>
    <w:rsid w:val="00D3172A"/>
    <w:rsid w:val="00D31BBA"/>
    <w:rsid w:val="00D32960"/>
    <w:rsid w:val="00D33296"/>
    <w:rsid w:val="00D371F8"/>
    <w:rsid w:val="00D43286"/>
    <w:rsid w:val="00D4435C"/>
    <w:rsid w:val="00D45009"/>
    <w:rsid w:val="00D45EB6"/>
    <w:rsid w:val="00D46382"/>
    <w:rsid w:val="00D47041"/>
    <w:rsid w:val="00D54D4C"/>
    <w:rsid w:val="00D55213"/>
    <w:rsid w:val="00D552EB"/>
    <w:rsid w:val="00D55AE3"/>
    <w:rsid w:val="00D57EAF"/>
    <w:rsid w:val="00D61F52"/>
    <w:rsid w:val="00D6207B"/>
    <w:rsid w:val="00D62FBD"/>
    <w:rsid w:val="00D639A3"/>
    <w:rsid w:val="00D65295"/>
    <w:rsid w:val="00D66D1C"/>
    <w:rsid w:val="00D6738F"/>
    <w:rsid w:val="00D70981"/>
    <w:rsid w:val="00D715E0"/>
    <w:rsid w:val="00D71791"/>
    <w:rsid w:val="00D72CD1"/>
    <w:rsid w:val="00D74A39"/>
    <w:rsid w:val="00D74CCC"/>
    <w:rsid w:val="00D75446"/>
    <w:rsid w:val="00D76100"/>
    <w:rsid w:val="00D765A0"/>
    <w:rsid w:val="00D77C9B"/>
    <w:rsid w:val="00D83A78"/>
    <w:rsid w:val="00D83D44"/>
    <w:rsid w:val="00D843B5"/>
    <w:rsid w:val="00D84F2B"/>
    <w:rsid w:val="00D86342"/>
    <w:rsid w:val="00D90D9D"/>
    <w:rsid w:val="00D91CB1"/>
    <w:rsid w:val="00D93C4A"/>
    <w:rsid w:val="00D94312"/>
    <w:rsid w:val="00D95DE7"/>
    <w:rsid w:val="00D96993"/>
    <w:rsid w:val="00DA1945"/>
    <w:rsid w:val="00DA2244"/>
    <w:rsid w:val="00DA279B"/>
    <w:rsid w:val="00DA462B"/>
    <w:rsid w:val="00DB0ABD"/>
    <w:rsid w:val="00DB23A8"/>
    <w:rsid w:val="00DB4978"/>
    <w:rsid w:val="00DB4E49"/>
    <w:rsid w:val="00DB580D"/>
    <w:rsid w:val="00DB5CEE"/>
    <w:rsid w:val="00DB634D"/>
    <w:rsid w:val="00DB64EE"/>
    <w:rsid w:val="00DB71FE"/>
    <w:rsid w:val="00DB797B"/>
    <w:rsid w:val="00DC27AE"/>
    <w:rsid w:val="00DC44C6"/>
    <w:rsid w:val="00DC4F09"/>
    <w:rsid w:val="00DC736A"/>
    <w:rsid w:val="00DC765C"/>
    <w:rsid w:val="00DC76FF"/>
    <w:rsid w:val="00DD1089"/>
    <w:rsid w:val="00DD1534"/>
    <w:rsid w:val="00DD1600"/>
    <w:rsid w:val="00DD3176"/>
    <w:rsid w:val="00DD564B"/>
    <w:rsid w:val="00DE0289"/>
    <w:rsid w:val="00DE11F3"/>
    <w:rsid w:val="00DE2AE1"/>
    <w:rsid w:val="00DE3870"/>
    <w:rsid w:val="00DE3CE2"/>
    <w:rsid w:val="00DE3EEE"/>
    <w:rsid w:val="00DE56ED"/>
    <w:rsid w:val="00DF3EC4"/>
    <w:rsid w:val="00DF58DF"/>
    <w:rsid w:val="00E01E95"/>
    <w:rsid w:val="00E03B74"/>
    <w:rsid w:val="00E06929"/>
    <w:rsid w:val="00E1002C"/>
    <w:rsid w:val="00E107B1"/>
    <w:rsid w:val="00E11826"/>
    <w:rsid w:val="00E1251D"/>
    <w:rsid w:val="00E12D7A"/>
    <w:rsid w:val="00E137B6"/>
    <w:rsid w:val="00E14AE3"/>
    <w:rsid w:val="00E15D4B"/>
    <w:rsid w:val="00E1619F"/>
    <w:rsid w:val="00E2092A"/>
    <w:rsid w:val="00E20C91"/>
    <w:rsid w:val="00E31C6C"/>
    <w:rsid w:val="00E346F7"/>
    <w:rsid w:val="00E4043F"/>
    <w:rsid w:val="00E413E8"/>
    <w:rsid w:val="00E414C0"/>
    <w:rsid w:val="00E4161B"/>
    <w:rsid w:val="00E41EAF"/>
    <w:rsid w:val="00E4427B"/>
    <w:rsid w:val="00E57C66"/>
    <w:rsid w:val="00E60AAC"/>
    <w:rsid w:val="00E61528"/>
    <w:rsid w:val="00E61DAE"/>
    <w:rsid w:val="00E61DEE"/>
    <w:rsid w:val="00E628E4"/>
    <w:rsid w:val="00E632FA"/>
    <w:rsid w:val="00E648BC"/>
    <w:rsid w:val="00E65C97"/>
    <w:rsid w:val="00E67BD0"/>
    <w:rsid w:val="00E70D58"/>
    <w:rsid w:val="00E715C4"/>
    <w:rsid w:val="00E74CAB"/>
    <w:rsid w:val="00E76268"/>
    <w:rsid w:val="00E762D9"/>
    <w:rsid w:val="00E76B01"/>
    <w:rsid w:val="00E7736F"/>
    <w:rsid w:val="00E77D1E"/>
    <w:rsid w:val="00E77F5E"/>
    <w:rsid w:val="00E8027E"/>
    <w:rsid w:val="00E81094"/>
    <w:rsid w:val="00E83EDE"/>
    <w:rsid w:val="00E862D5"/>
    <w:rsid w:val="00E91F41"/>
    <w:rsid w:val="00E9364F"/>
    <w:rsid w:val="00E95165"/>
    <w:rsid w:val="00E97648"/>
    <w:rsid w:val="00EA0CB2"/>
    <w:rsid w:val="00EA0F7E"/>
    <w:rsid w:val="00EA2281"/>
    <w:rsid w:val="00EA2A25"/>
    <w:rsid w:val="00EA2FBD"/>
    <w:rsid w:val="00EA7C54"/>
    <w:rsid w:val="00EA7EDE"/>
    <w:rsid w:val="00EB02EE"/>
    <w:rsid w:val="00EB1B93"/>
    <w:rsid w:val="00EC4C49"/>
    <w:rsid w:val="00ED0570"/>
    <w:rsid w:val="00ED0965"/>
    <w:rsid w:val="00ED19E4"/>
    <w:rsid w:val="00ED242F"/>
    <w:rsid w:val="00ED2893"/>
    <w:rsid w:val="00ED3738"/>
    <w:rsid w:val="00ED5697"/>
    <w:rsid w:val="00ED56C5"/>
    <w:rsid w:val="00ED75DC"/>
    <w:rsid w:val="00EE079C"/>
    <w:rsid w:val="00EE2828"/>
    <w:rsid w:val="00EE3434"/>
    <w:rsid w:val="00EE5151"/>
    <w:rsid w:val="00EE5409"/>
    <w:rsid w:val="00EE72F8"/>
    <w:rsid w:val="00EE7538"/>
    <w:rsid w:val="00EF0595"/>
    <w:rsid w:val="00EF40D5"/>
    <w:rsid w:val="00EF6B39"/>
    <w:rsid w:val="00EF6DAD"/>
    <w:rsid w:val="00EF75E0"/>
    <w:rsid w:val="00F00842"/>
    <w:rsid w:val="00F02DE7"/>
    <w:rsid w:val="00F04012"/>
    <w:rsid w:val="00F05868"/>
    <w:rsid w:val="00F127D7"/>
    <w:rsid w:val="00F142C5"/>
    <w:rsid w:val="00F15F3D"/>
    <w:rsid w:val="00F25BC1"/>
    <w:rsid w:val="00F25E85"/>
    <w:rsid w:val="00F33D08"/>
    <w:rsid w:val="00F3646A"/>
    <w:rsid w:val="00F36745"/>
    <w:rsid w:val="00F377DB"/>
    <w:rsid w:val="00F411E8"/>
    <w:rsid w:val="00F41FF5"/>
    <w:rsid w:val="00F43733"/>
    <w:rsid w:val="00F44346"/>
    <w:rsid w:val="00F47212"/>
    <w:rsid w:val="00F47859"/>
    <w:rsid w:val="00F52062"/>
    <w:rsid w:val="00F536B0"/>
    <w:rsid w:val="00F5517A"/>
    <w:rsid w:val="00F557FB"/>
    <w:rsid w:val="00F632A0"/>
    <w:rsid w:val="00F65BB4"/>
    <w:rsid w:val="00F6697D"/>
    <w:rsid w:val="00F70BB8"/>
    <w:rsid w:val="00F7167D"/>
    <w:rsid w:val="00F72A52"/>
    <w:rsid w:val="00F72B2D"/>
    <w:rsid w:val="00F72CF5"/>
    <w:rsid w:val="00F72F9C"/>
    <w:rsid w:val="00F7567B"/>
    <w:rsid w:val="00F82C8E"/>
    <w:rsid w:val="00F82F56"/>
    <w:rsid w:val="00F83260"/>
    <w:rsid w:val="00F86F75"/>
    <w:rsid w:val="00F90414"/>
    <w:rsid w:val="00F90976"/>
    <w:rsid w:val="00F915EE"/>
    <w:rsid w:val="00F921F6"/>
    <w:rsid w:val="00F92A2A"/>
    <w:rsid w:val="00F93F8A"/>
    <w:rsid w:val="00F94C45"/>
    <w:rsid w:val="00F97120"/>
    <w:rsid w:val="00FA3683"/>
    <w:rsid w:val="00FA3859"/>
    <w:rsid w:val="00FA4D69"/>
    <w:rsid w:val="00FA7566"/>
    <w:rsid w:val="00FA77A8"/>
    <w:rsid w:val="00FB05AD"/>
    <w:rsid w:val="00FB48D9"/>
    <w:rsid w:val="00FB493C"/>
    <w:rsid w:val="00FC0D16"/>
    <w:rsid w:val="00FC273B"/>
    <w:rsid w:val="00FC2BAF"/>
    <w:rsid w:val="00FC2FAD"/>
    <w:rsid w:val="00FC3089"/>
    <w:rsid w:val="00FC43EB"/>
    <w:rsid w:val="00FC46E8"/>
    <w:rsid w:val="00FC53B6"/>
    <w:rsid w:val="00FC552D"/>
    <w:rsid w:val="00FC5E7C"/>
    <w:rsid w:val="00FD04A1"/>
    <w:rsid w:val="00FD21E9"/>
    <w:rsid w:val="00FD275D"/>
    <w:rsid w:val="00FD369F"/>
    <w:rsid w:val="00FE1206"/>
    <w:rsid w:val="00FE12BF"/>
    <w:rsid w:val="00FE1BA9"/>
    <w:rsid w:val="00FE25B3"/>
    <w:rsid w:val="00FE4406"/>
    <w:rsid w:val="00FE6744"/>
    <w:rsid w:val="00FE7C93"/>
    <w:rsid w:val="00FF1083"/>
    <w:rsid w:val="00FF12CD"/>
    <w:rsid w:val="00FF257F"/>
    <w:rsid w:val="00FF29B3"/>
    <w:rsid w:val="00FF5BAC"/>
    <w:rsid w:val="15091831"/>
    <w:rsid w:val="2DD63F72"/>
    <w:rsid w:val="2EC67FA5"/>
    <w:rsid w:val="31A662F4"/>
    <w:rsid w:val="3F310B59"/>
    <w:rsid w:val="673F20BE"/>
    <w:rsid w:val="67637ACC"/>
    <w:rsid w:val="686E3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9"/>
    <w:semiHidden/>
    <w:unhideWhenUsed/>
    <w:qFormat/>
    <w:uiPriority w:val="99"/>
    <w:pPr>
      <w:jc w:val="left"/>
    </w:pPr>
  </w:style>
  <w:style w:type="paragraph" w:styleId="3">
    <w:name w:val="Balloon Text"/>
    <w:basedOn w:val="1"/>
    <w:link w:val="28"/>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Subtitle"/>
    <w:basedOn w:val="1"/>
    <w:next w:val="1"/>
    <w:link w:val="43"/>
    <w:qFormat/>
    <w:uiPriority w:val="11"/>
    <w:pPr>
      <w:spacing w:before="240" w:after="60" w:line="312" w:lineRule="auto"/>
      <w:jc w:val="center"/>
      <w:outlineLvl w:val="1"/>
    </w:pPr>
    <w:rPr>
      <w:b/>
      <w:bCs/>
      <w:kern w:val="28"/>
      <w:sz w:val="32"/>
      <w:szCs w:val="32"/>
    </w:rPr>
  </w:style>
  <w:style w:type="paragraph" w:styleId="8">
    <w:name w:val="toc 2"/>
    <w:basedOn w:val="1"/>
    <w:next w:val="1"/>
    <w:unhideWhenUsed/>
    <w:qFormat/>
    <w:uiPriority w:val="39"/>
    <w:pPr>
      <w:ind w:left="420" w:leftChars="200"/>
    </w:pPr>
  </w:style>
  <w:style w:type="paragraph" w:styleId="9">
    <w:name w:val="annotation subject"/>
    <w:basedOn w:val="2"/>
    <w:next w:val="2"/>
    <w:link w:val="40"/>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styleId="15">
    <w:name w:val="List Paragraph"/>
    <w:basedOn w:val="1"/>
    <w:qFormat/>
    <w:uiPriority w:val="34"/>
    <w:pPr>
      <w:ind w:firstLine="420" w:firstLineChars="200"/>
    </w:pPr>
  </w:style>
  <w:style w:type="character" w:customStyle="1" w:styleId="16">
    <w:name w:val="未处理的提及1"/>
    <w:basedOn w:val="12"/>
    <w:semiHidden/>
    <w:unhideWhenUsed/>
    <w:qFormat/>
    <w:uiPriority w:val="99"/>
    <w:rPr>
      <w:color w:val="605E5C"/>
      <w:shd w:val="clear" w:color="auto" w:fill="E1DFDD"/>
    </w:rPr>
  </w:style>
  <w:style w:type="character" w:customStyle="1" w:styleId="17">
    <w:name w:val="页眉 字符"/>
    <w:basedOn w:val="12"/>
    <w:link w:val="5"/>
    <w:qFormat/>
    <w:uiPriority w:val="99"/>
    <w:rPr>
      <w:sz w:val="18"/>
      <w:szCs w:val="18"/>
    </w:rPr>
  </w:style>
  <w:style w:type="character" w:customStyle="1" w:styleId="18">
    <w:name w:val="页脚 字符"/>
    <w:basedOn w:val="12"/>
    <w:link w:val="4"/>
    <w:qFormat/>
    <w:uiPriority w:val="99"/>
    <w:rPr>
      <w:sz w:val="18"/>
      <w:szCs w:val="18"/>
    </w:rPr>
  </w:style>
  <w:style w:type="paragraph" w:customStyle="1" w:styleId="19">
    <w:name w:val="目次、标准名称标题"/>
    <w:basedOn w:val="1"/>
    <w:next w:val="1"/>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21">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2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character" w:customStyle="1" w:styleId="23">
    <w:name w:val="发布"/>
    <w:qFormat/>
    <w:uiPriority w:val="0"/>
    <w:rPr>
      <w:rFonts w:ascii="黑体" w:eastAsia="黑体"/>
      <w:spacing w:val="85"/>
      <w:w w:val="100"/>
      <w:position w:val="3"/>
      <w:sz w:val="28"/>
      <w:szCs w:val="28"/>
    </w:rPr>
  </w:style>
  <w:style w:type="paragraph" w:customStyle="1" w:styleId="24">
    <w:name w:val="发布部门"/>
    <w:next w:val="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25">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6">
    <w:name w:val="章标题"/>
    <w:next w:val="1"/>
    <w:link w:val="32"/>
    <w:qFormat/>
    <w:uiPriority w:val="99"/>
    <w:p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27">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character" w:customStyle="1" w:styleId="28">
    <w:name w:val="批注框文本 字符"/>
    <w:basedOn w:val="12"/>
    <w:link w:val="3"/>
    <w:semiHidden/>
    <w:qFormat/>
    <w:uiPriority w:val="99"/>
    <w:rPr>
      <w:sz w:val="18"/>
      <w:szCs w:val="18"/>
    </w:rPr>
  </w:style>
  <w:style w:type="paragraph" w:customStyle="1" w:styleId="2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30">
    <w:name w:val="其他发布部门"/>
    <w:basedOn w:val="1"/>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31">
    <w:name w:val="文献分类号"/>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character" w:customStyle="1" w:styleId="32">
    <w:name w:val="章标题 Char"/>
    <w:basedOn w:val="12"/>
    <w:link w:val="26"/>
    <w:uiPriority w:val="99"/>
    <w:rPr>
      <w:rFonts w:ascii="黑体" w:hAnsi="Times New Roman" w:eastAsia="黑体" w:cs="Times New Roman"/>
      <w:kern w:val="0"/>
      <w:szCs w:val="20"/>
    </w:rPr>
  </w:style>
  <w:style w:type="paragraph" w:customStyle="1" w:styleId="33">
    <w:name w:val="一级条标题"/>
    <w:next w:val="1"/>
    <w:link w:val="34"/>
    <w:qFormat/>
    <w:uiPriority w:val="0"/>
    <w:pPr>
      <w:spacing w:before="156" w:beforeLines="50" w:after="156" w:afterLines="50"/>
      <w:outlineLvl w:val="2"/>
    </w:pPr>
    <w:rPr>
      <w:rFonts w:ascii="黑体" w:hAnsi="Times New Roman" w:eastAsia="黑体" w:cs="Times New Roman"/>
      <w:kern w:val="0"/>
      <w:sz w:val="21"/>
      <w:szCs w:val="21"/>
      <w:lang w:val="en-US" w:eastAsia="zh-CN" w:bidi="ar-SA"/>
    </w:rPr>
  </w:style>
  <w:style w:type="character" w:customStyle="1" w:styleId="34">
    <w:name w:val="一级条标题 Char"/>
    <w:basedOn w:val="12"/>
    <w:link w:val="33"/>
    <w:uiPriority w:val="0"/>
    <w:rPr>
      <w:rFonts w:ascii="黑体" w:hAnsi="Times New Roman" w:eastAsia="黑体" w:cs="Times New Roman"/>
      <w:kern w:val="0"/>
      <w:szCs w:val="21"/>
    </w:rPr>
  </w:style>
  <w:style w:type="paragraph" w:customStyle="1" w:styleId="35">
    <w:name w:val="二级条标题"/>
    <w:basedOn w:val="33"/>
    <w:next w:val="1"/>
    <w:link w:val="36"/>
    <w:uiPriority w:val="99"/>
    <w:pPr>
      <w:spacing w:before="50" w:after="50"/>
      <w:outlineLvl w:val="3"/>
    </w:pPr>
  </w:style>
  <w:style w:type="character" w:customStyle="1" w:styleId="36">
    <w:name w:val="二级条标题 Char"/>
    <w:basedOn w:val="12"/>
    <w:link w:val="35"/>
    <w:qFormat/>
    <w:uiPriority w:val="99"/>
    <w:rPr>
      <w:rFonts w:ascii="黑体" w:hAnsi="Times New Roman" w:eastAsia="黑体" w:cs="Times New Roman"/>
      <w:kern w:val="0"/>
      <w:szCs w:val="21"/>
    </w:rPr>
  </w:style>
  <w:style w:type="paragraph" w:customStyle="1" w:styleId="37">
    <w:name w:val="正文表标题"/>
    <w:next w:val="1"/>
    <w:qFormat/>
    <w:uiPriority w:val="0"/>
    <w:pPr>
      <w:tabs>
        <w:tab w:val="left" w:pos="360"/>
      </w:tabs>
      <w:spacing w:before="156" w:beforeLines="50" w:after="156" w:afterLines="50"/>
      <w:jc w:val="center"/>
    </w:pPr>
    <w:rPr>
      <w:rFonts w:ascii="黑体" w:hAnsi="Times New Roman" w:eastAsia="黑体" w:cs="Times New Roman"/>
      <w:kern w:val="0"/>
      <w:sz w:val="21"/>
      <w:szCs w:val="20"/>
      <w:lang w:val="en-US" w:eastAsia="zh-CN" w:bidi="ar-SA"/>
    </w:rPr>
  </w:style>
  <w:style w:type="paragraph" w:customStyle="1" w:styleId="38">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character" w:customStyle="1" w:styleId="39">
    <w:name w:val="批注文字 字符"/>
    <w:basedOn w:val="12"/>
    <w:link w:val="2"/>
    <w:semiHidden/>
    <w:qFormat/>
    <w:uiPriority w:val="99"/>
  </w:style>
  <w:style w:type="character" w:customStyle="1" w:styleId="40">
    <w:name w:val="批注主题 字符"/>
    <w:basedOn w:val="39"/>
    <w:link w:val="9"/>
    <w:semiHidden/>
    <w:uiPriority w:val="99"/>
    <w:rPr>
      <w:b/>
      <w:bCs/>
    </w:rPr>
  </w:style>
  <w:style w:type="character" w:customStyle="1" w:styleId="41">
    <w:name w:val="段 Char"/>
    <w:link w:val="42"/>
    <w:uiPriority w:val="0"/>
    <w:rPr>
      <w:rFonts w:ascii="宋体"/>
    </w:rPr>
  </w:style>
  <w:style w:type="paragraph" w:customStyle="1" w:styleId="42">
    <w:name w:val="段"/>
    <w:link w:val="41"/>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43">
    <w:name w:val="副标题 字符"/>
    <w:basedOn w:val="12"/>
    <w:link w:val="7"/>
    <w:uiPriority w:val="11"/>
    <w:rPr>
      <w:b/>
      <w:bCs/>
      <w:kern w:val="28"/>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eviewRoot xmlns="http://www.founder.com/operation">
  <DupCheck current="sys1494656" previous="sys1485257"/>
</ReviewRoot>
</file>

<file path=customXml/item4.xml><?xml version="1.0" encoding="utf-8"?>
<ReviewRoot xmlns="http://www.founder.com/review">
  <DuplicateChecking Path="C:\Users\fdfds\AppData\Local\Temp\8e57b436-beb9-4179-abe5-d546ecbefe16.xml"/>
</ReviewRoot>
</file>

<file path=customXml/item5.xml><?xml version="1.0" encoding="utf-8"?>
<ReviewRoot xmlns="http://www.founder.com/format"/>
</file>

<file path=customXml/item6.xml><?xml version="1.0" encoding="utf-8"?>
<ReviewRoot xmlns="http://www.founder.com/knowled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87AEAB-7DEC-4FB6-899F-5A967506FF25}">
  <ds:schemaRefs/>
</ds:datastoreItem>
</file>

<file path=customXml/itemProps3.xml><?xml version="1.0" encoding="utf-8"?>
<ds:datastoreItem xmlns:ds="http://schemas.openxmlformats.org/officeDocument/2006/customXml" ds:itemID="{FC6AC760-EA53-48B8-BC3F-F9353CA6F355}">
  <ds:schemaRefs/>
</ds:datastoreItem>
</file>

<file path=customXml/itemProps4.xml><?xml version="1.0" encoding="utf-8"?>
<ds:datastoreItem xmlns:ds="http://schemas.openxmlformats.org/officeDocument/2006/customXml" ds:itemID="{0D5F0376-8ED1-4801-9001-A535F1C352E7}">
  <ds:schemaRefs/>
</ds:datastoreItem>
</file>

<file path=customXml/itemProps5.xml><?xml version="1.0" encoding="utf-8"?>
<ds:datastoreItem xmlns:ds="http://schemas.openxmlformats.org/officeDocument/2006/customXml" ds:itemID="{1D653377-ABA6-413E-8881-798322F45ED0}">
  <ds:schemaRefs/>
</ds:datastoreItem>
</file>

<file path=customXml/itemProps6.xml><?xml version="1.0" encoding="utf-8"?>
<ds:datastoreItem xmlns:ds="http://schemas.openxmlformats.org/officeDocument/2006/customXml" ds:itemID="{EC68C70F-86E6-4464-BE7C-135AC08765F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693</Words>
  <Characters>3954</Characters>
  <Lines>32</Lines>
  <Paragraphs>9</Paragraphs>
  <TotalTime>1</TotalTime>
  <ScaleCrop>false</ScaleCrop>
  <LinksUpToDate>false</LinksUpToDate>
  <CharactersWithSpaces>4638</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2022-04-17T11:22:00Z</dcterms:created>
  <dc:creator>chen Yunxia</dc:creator>
  <cp:lastModifiedBy>潇楠</cp:lastModifiedBy>
  <cp:lastPrinted>2022-04-19T01:20:00Z</cp:lastPrinted>
  <dcterms:modified xsi:type="dcterms:W3CDTF">2022-04-19T09:13:13Z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BFC1465A00B042C28468E27997F4CB76</vt:lpwstr>
  </property>
</Properties>
</file>