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中国粮油学会团体标准实施方案</w:t>
      </w:r>
      <w:bookmarkEnd w:id="0"/>
    </w:p>
    <w:p>
      <w:pPr>
        <w:spacing w:line="360" w:lineRule="auto"/>
        <w:rPr>
          <w:rFonts w:hint="eastAsia" w:ascii="黑体" w:hAnsi="黑体" w:eastAsia="黑体"/>
          <w:sz w:val="24"/>
        </w:rPr>
      </w:pPr>
    </w:p>
    <w:p>
      <w:pPr>
        <w:spacing w:line="360" w:lineRule="auto"/>
        <w:jc w:val="both"/>
        <w:rPr>
          <w:rFonts w:hint="eastAsia" w:ascii="宋体" w:hAnsi="宋体"/>
          <w:sz w:val="32"/>
        </w:rPr>
      </w:pPr>
    </w:p>
    <w:p>
      <w:pPr>
        <w:spacing w:line="360" w:lineRule="auto"/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标准名称：《                 》</w:t>
      </w:r>
    </w:p>
    <w:p>
      <w:pPr>
        <w:spacing w:line="360" w:lineRule="auto"/>
        <w:rPr>
          <w:rFonts w:hint="eastAsia" w:ascii="黑体" w:hAnsi="黑体" w:eastAsia="黑体"/>
          <w:sz w:val="24"/>
        </w:rPr>
      </w:pPr>
    </w:p>
    <w:p>
      <w:pPr>
        <w:spacing w:line="360" w:lineRule="auto"/>
        <w:rPr>
          <w:rFonts w:hint="eastAsia" w:ascii="黑体" w:hAnsi="黑体" w:eastAsia="黑体"/>
          <w:sz w:val="24"/>
        </w:rPr>
      </w:pPr>
    </w:p>
    <w:p>
      <w:pPr>
        <w:spacing w:line="360" w:lineRule="auto"/>
        <w:rPr>
          <w:rFonts w:hint="eastAsia" w:ascii="黑体" w:hAnsi="黑体" w:eastAsia="黑体"/>
          <w:sz w:val="24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shd w:val="clear" w:color="auto" w:fill="auto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主编单位：</w:t>
            </w:r>
          </w:p>
        </w:tc>
        <w:tc>
          <w:tcPr>
            <w:tcW w:w="3033" w:type="dxa"/>
            <w:shd w:val="clear" w:color="auto" w:fill="auto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shd w:val="clear" w:color="auto" w:fill="auto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参编单位：</w:t>
            </w:r>
          </w:p>
        </w:tc>
        <w:tc>
          <w:tcPr>
            <w:tcW w:w="3033" w:type="dxa"/>
            <w:shd w:val="clear" w:color="auto" w:fill="auto"/>
            <w:noWrap w:val="0"/>
            <w:vAlign w:val="top"/>
          </w:tcPr>
          <w:p>
            <w:pPr>
              <w:spacing w:before="156" w:beforeLines="50"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4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24"/>
        </w:rPr>
      </w:pPr>
      <w:r>
        <w:rPr>
          <w:sz w:val="48"/>
          <w:szCs w:val="48"/>
        </w:rPr>
        <w:drawing>
          <wp:inline distT="0" distB="0" distL="114300" distR="114300">
            <wp:extent cx="742950" cy="793750"/>
            <wp:effectExtent l="0" t="0" r="0" b="6350"/>
            <wp:docPr id="1" name="图片 1" descr="C:\Users\wxf\Desktop\logo\透明CCO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xf\Desktop\logo\透明CCOA-Logo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中国粮油学会</w:t>
      </w:r>
    </w:p>
    <w:p>
      <w:pPr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年    月</w:t>
      </w:r>
    </w:p>
    <w:p>
      <w:pPr>
        <w:spacing w:line="360" w:lineRule="auto"/>
        <w:jc w:val="lef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360" w:lineRule="auto"/>
        <w:ind w:firstLine="600" w:firstLineChars="20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一、基本信息</w:t>
      </w:r>
    </w:p>
    <w:tbl>
      <w:tblPr>
        <w:tblStyle w:val="3"/>
        <w:tblW w:w="52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922"/>
        <w:gridCol w:w="201"/>
        <w:gridCol w:w="2513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中文名称</w:t>
            </w:r>
          </w:p>
        </w:tc>
        <w:tc>
          <w:tcPr>
            <w:tcW w:w="3993" w:type="pct"/>
            <w:gridSpan w:val="4"/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英文名称</w:t>
            </w:r>
          </w:p>
        </w:tc>
        <w:tc>
          <w:tcPr>
            <w:tcW w:w="3993" w:type="pct"/>
            <w:gridSpan w:val="4"/>
            <w:noWrap w:val="0"/>
            <w:vAlign w:val="center"/>
          </w:tcPr>
          <w:p>
            <w:pPr>
              <w:spacing w:before="2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制定/修订</w:t>
            </w:r>
          </w:p>
        </w:tc>
        <w:tc>
          <w:tcPr>
            <w:tcW w:w="1629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制定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修订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被修订标准号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采用国际标准</w:t>
            </w:r>
          </w:p>
        </w:tc>
        <w:tc>
          <w:tcPr>
            <w:tcW w:w="1629" w:type="pct"/>
            <w:gridSpan w:val="2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无 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ISO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其他（请具体说明）</w:t>
            </w:r>
          </w:p>
        </w:tc>
        <w:tc>
          <w:tcPr>
            <w:tcW w:w="13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superscript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一致性程度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等同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修改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采标号</w:t>
            </w:r>
          </w:p>
        </w:tc>
        <w:tc>
          <w:tcPr>
            <w:tcW w:w="162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采标名称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标准类别</w:t>
            </w:r>
          </w:p>
        </w:tc>
        <w:tc>
          <w:tcPr>
            <w:tcW w:w="3993" w:type="pct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产品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工程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技术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服务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特征名类别</w:t>
            </w:r>
          </w:p>
        </w:tc>
        <w:tc>
          <w:tcPr>
            <w:tcW w:w="399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标准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规范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规程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指南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导则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规定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是否涉及专利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是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  <w:tc>
          <w:tcPr>
            <w:tcW w:w="141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专利号及名称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是否由地标或其他标转化</w:t>
            </w:r>
          </w:p>
        </w:tc>
        <w:tc>
          <w:tcPr>
            <w:tcW w:w="1524" w:type="pct"/>
            <w:noWrap w:val="0"/>
            <w:vAlign w:val="center"/>
          </w:tcPr>
          <w:p>
            <w:pPr>
              <w:spacing w:before="240" w:after="24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是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  <w:tc>
          <w:tcPr>
            <w:tcW w:w="141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相关标准号及名称</w:t>
            </w:r>
          </w:p>
        </w:tc>
        <w:tc>
          <w:tcPr>
            <w:tcW w:w="1051" w:type="pct"/>
            <w:noWrap w:val="0"/>
            <w:vAlign w:val="center"/>
          </w:tcPr>
          <w:p>
            <w:pPr>
              <w:spacing w:after="2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3993" w:type="pct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hAnsi="宋体" w:eastAsia="仿宋_GB2312" w:cs="Verdan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hAnsi="宋体" w:eastAsia="仿宋_GB2312" w:cs="Verdana"/>
          <w:sz w:val="28"/>
          <w:szCs w:val="28"/>
        </w:rPr>
        <w:t>1.</w:t>
      </w:r>
      <w:r>
        <w:rPr>
          <w:rFonts w:ascii="仿宋_GB2312" w:hAnsi="宋体" w:eastAsia="仿宋_GB2312" w:cs="Verdana"/>
          <w:sz w:val="28"/>
          <w:szCs w:val="28"/>
        </w:rPr>
        <w:t>一致性程度说明参见</w:t>
      </w:r>
      <w:r>
        <w:rPr>
          <w:rFonts w:hint="eastAsia" w:ascii="仿宋_GB2312" w:hAnsi="宋体" w:eastAsia="仿宋_GB2312" w:cs="Verdana"/>
          <w:sz w:val="28"/>
          <w:szCs w:val="28"/>
        </w:rPr>
        <w:t>GB/T</w:t>
      </w:r>
      <w:r>
        <w:rPr>
          <w:rFonts w:hint="eastAsia" w:ascii="仿宋_GB2312" w:hAnsi="宋体" w:eastAsia="仿宋_GB2312" w:cs="Verdana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Verdana"/>
          <w:sz w:val="28"/>
          <w:szCs w:val="28"/>
        </w:rPr>
        <w:t>.2-20</w:t>
      </w:r>
      <w:r>
        <w:rPr>
          <w:rFonts w:hint="eastAsia" w:ascii="仿宋_GB2312" w:hAnsi="宋体" w:eastAsia="仿宋_GB2312" w:cs="Verdana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Verdana"/>
          <w:sz w:val="28"/>
          <w:szCs w:val="28"/>
        </w:rPr>
        <w:t>《标准化工作</w:t>
      </w:r>
      <w:r>
        <w:rPr>
          <w:rFonts w:hint="eastAsia" w:ascii="仿宋_GB2312" w:hAnsi="宋体" w:eastAsia="仿宋_GB2312" w:cs="Verdana"/>
          <w:sz w:val="28"/>
          <w:szCs w:val="28"/>
          <w:lang w:eastAsia="zh-CN"/>
        </w:rPr>
        <w:t>导则</w:t>
      </w:r>
      <w:r>
        <w:rPr>
          <w:rFonts w:hint="eastAsia" w:ascii="仿宋_GB2312" w:hAnsi="宋体" w:eastAsia="仿宋_GB2312" w:cs="Verdana"/>
          <w:sz w:val="28"/>
          <w:szCs w:val="28"/>
        </w:rPr>
        <w:t xml:space="preserve"> 第2部分：</w:t>
      </w:r>
      <w:r>
        <w:rPr>
          <w:rFonts w:hint="eastAsia" w:ascii="仿宋_GB2312" w:hAnsi="宋体" w:eastAsia="仿宋_GB2312" w:cs="Verdana"/>
          <w:sz w:val="28"/>
          <w:szCs w:val="28"/>
          <w:lang w:eastAsia="zh-CN"/>
        </w:rPr>
        <w:t>以</w:t>
      </w:r>
      <w:r>
        <w:rPr>
          <w:rFonts w:hint="eastAsia" w:ascii="仿宋_GB2312" w:hAnsi="宋体" w:eastAsia="仿宋_GB2312" w:cs="Verdana"/>
          <w:sz w:val="28"/>
          <w:szCs w:val="28"/>
          <w:lang w:val="en-US" w:eastAsia="zh-CN"/>
        </w:rPr>
        <w:t>ISO/IEC标准化文件为基础的标准化文件起草规则</w:t>
      </w:r>
      <w:r>
        <w:rPr>
          <w:rFonts w:hint="eastAsia" w:ascii="仿宋_GB2312" w:hAnsi="宋体" w:eastAsia="仿宋_GB2312" w:cs="Verdana"/>
          <w:sz w:val="28"/>
          <w:szCs w:val="28"/>
        </w:rPr>
        <w:t>》</w:t>
      </w:r>
      <w:r>
        <w:rPr>
          <w:rFonts w:hint="eastAsia" w:ascii="仿宋_GB2312" w:hAnsi="宋体" w:eastAsia="仿宋_GB2312" w:cs="Verdana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Verdana"/>
          <w:sz w:val="28"/>
          <w:szCs w:val="28"/>
        </w:rPr>
        <w:t>其中，</w:t>
      </w:r>
      <w:r>
        <w:rPr>
          <w:rFonts w:ascii="仿宋_GB2312" w:hAnsi="宋体" w:eastAsia="仿宋_GB2312" w:cs="Verdana"/>
          <w:sz w:val="28"/>
          <w:szCs w:val="28"/>
        </w:rPr>
        <w:t>等同采用，指技术内容及文本结构相同，没有或仅有编辑性修改；</w:t>
      </w:r>
      <w:r>
        <w:rPr>
          <w:rFonts w:hint="eastAsia" w:ascii="仿宋_GB2312" w:hAnsi="宋体" w:eastAsia="仿宋_GB2312" w:cs="Verdana"/>
          <w:sz w:val="28"/>
          <w:szCs w:val="28"/>
        </w:rPr>
        <w:t>修改</w:t>
      </w:r>
      <w:r>
        <w:rPr>
          <w:rFonts w:ascii="仿宋_GB2312" w:hAnsi="宋体" w:eastAsia="仿宋_GB2312" w:cs="Verdana"/>
          <w:sz w:val="28"/>
          <w:szCs w:val="28"/>
        </w:rPr>
        <w:t>采用</w:t>
      </w:r>
      <w:r>
        <w:rPr>
          <w:rFonts w:hint="eastAsia" w:ascii="仿宋_GB2312" w:hAnsi="宋体" w:eastAsia="仿宋_GB2312" w:cs="Verdana"/>
          <w:sz w:val="28"/>
          <w:szCs w:val="28"/>
          <w:lang w:eastAsia="zh-CN"/>
        </w:rPr>
        <w:t>，</w:t>
      </w:r>
      <w:r>
        <w:rPr>
          <w:rFonts w:ascii="仿宋_GB2312" w:hAnsi="宋体" w:eastAsia="仿宋_GB2312" w:cs="Verdana"/>
          <w:sz w:val="28"/>
          <w:szCs w:val="28"/>
        </w:rPr>
        <w:t>存在技术性差异</w:t>
      </w:r>
      <w:r>
        <w:rPr>
          <w:rFonts w:hint="eastAsia" w:ascii="仿宋_GB2312" w:hAnsi="宋体" w:eastAsia="仿宋_GB2312" w:cs="Verdana"/>
          <w:sz w:val="28"/>
          <w:szCs w:val="28"/>
        </w:rPr>
        <w:t>，</w:t>
      </w:r>
      <w:r>
        <w:rPr>
          <w:rFonts w:ascii="仿宋_GB2312" w:hAnsi="宋体" w:eastAsia="仿宋_GB2312" w:cs="Verdana"/>
          <w:sz w:val="28"/>
          <w:szCs w:val="28"/>
        </w:rPr>
        <w:t>且差异及产生的原因被清楚地说明</w:t>
      </w:r>
      <w:r>
        <w:rPr>
          <w:rFonts w:hint="eastAsia" w:ascii="仿宋_GB2312" w:hAnsi="宋体" w:eastAsia="仿宋_GB2312" w:cs="Verdana"/>
          <w:sz w:val="28"/>
          <w:szCs w:val="28"/>
        </w:rPr>
        <w:t>，文本结构有变化且有清楚的比较；</w:t>
      </w:r>
      <w:r>
        <w:rPr>
          <w:rFonts w:ascii="仿宋_GB2312" w:hAnsi="宋体" w:eastAsia="仿宋_GB2312" w:cs="Verdana"/>
          <w:sz w:val="28"/>
          <w:szCs w:val="28"/>
        </w:rPr>
        <w:t>非等效采用，</w:t>
      </w:r>
      <w:r>
        <w:rPr>
          <w:rFonts w:hint="eastAsia" w:ascii="仿宋_GB2312" w:hAnsi="宋体" w:eastAsia="仿宋_GB2312" w:cs="Verdana"/>
          <w:sz w:val="28"/>
          <w:szCs w:val="28"/>
        </w:rPr>
        <w:t>技术</w:t>
      </w:r>
      <w:r>
        <w:rPr>
          <w:rFonts w:ascii="仿宋_GB2312" w:hAnsi="宋体" w:eastAsia="仿宋_GB2312" w:cs="Verdana"/>
          <w:sz w:val="28"/>
          <w:szCs w:val="28"/>
        </w:rPr>
        <w:t>内容和文本结构不同</w:t>
      </w:r>
      <w:r>
        <w:rPr>
          <w:rFonts w:hint="eastAsia" w:ascii="仿宋_GB2312" w:hAnsi="宋体" w:eastAsia="仿宋_GB2312" w:cs="Verdana"/>
          <w:sz w:val="28"/>
          <w:szCs w:val="28"/>
        </w:rPr>
        <w:t>，</w:t>
      </w:r>
      <w:r>
        <w:rPr>
          <w:rFonts w:ascii="仿宋_GB2312" w:hAnsi="宋体" w:eastAsia="仿宋_GB2312" w:cs="Verdana"/>
          <w:sz w:val="28"/>
          <w:szCs w:val="28"/>
        </w:rPr>
        <w:t>且在标准中没有被清楚地说明</w:t>
      </w:r>
      <w:r>
        <w:rPr>
          <w:rFonts w:hint="eastAsia" w:ascii="仿宋_GB2312" w:hAnsi="宋体" w:eastAsia="仿宋_GB2312" w:cs="Verdana"/>
          <w:sz w:val="28"/>
          <w:szCs w:val="28"/>
        </w:rPr>
        <w:t>，或只保留了少量或不重要的国际标准条款；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2.学会标准中涉及到专利，专利权人或者专利申请人应同意在公平、合理、无歧视基础上，免费许可任何组织或者个人在实施该项学会标准时实施其专利；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标准编写规则应符合《标准化工作导则·第1部分：标准</w:t>
      </w:r>
      <w:r>
        <w:rPr>
          <w:rFonts w:hint="eastAsia" w:ascii="仿宋_GB2312" w:eastAsia="仿宋_GB2312"/>
          <w:sz w:val="28"/>
          <w:szCs w:val="28"/>
          <w:lang w:eastAsia="zh-CN"/>
        </w:rPr>
        <w:t>化文件</w:t>
      </w:r>
      <w:r>
        <w:rPr>
          <w:rFonts w:hint="eastAsia" w:ascii="仿宋_GB2312" w:eastAsia="仿宋_GB2312"/>
          <w:sz w:val="28"/>
          <w:szCs w:val="28"/>
        </w:rPr>
        <w:t>的结构和</w:t>
      </w:r>
      <w:r>
        <w:rPr>
          <w:rFonts w:hint="eastAsia" w:ascii="仿宋_GB2312" w:eastAsia="仿宋_GB2312"/>
          <w:sz w:val="28"/>
          <w:szCs w:val="28"/>
          <w:lang w:eastAsia="zh-CN"/>
        </w:rPr>
        <w:t>起草规则</w:t>
      </w:r>
      <w:r>
        <w:rPr>
          <w:rFonts w:hint="eastAsia" w:ascii="仿宋_GB2312" w:eastAsia="仿宋_GB2312"/>
          <w:sz w:val="28"/>
          <w:szCs w:val="28"/>
        </w:rPr>
        <w:t>》（GB/T 1.1-2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020</w:t>
      </w:r>
      <w:r>
        <w:rPr>
          <w:rFonts w:hint="eastAsia" w:ascii="仿宋_GB2312" w:eastAsia="仿宋_GB2312"/>
          <w:sz w:val="28"/>
          <w:szCs w:val="28"/>
        </w:rPr>
        <w:t>）的要求。</w:t>
      </w:r>
    </w:p>
    <w:p>
      <w:pPr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二、编写单位信息及分工</w:t>
      </w:r>
    </w:p>
    <w:tbl>
      <w:tblPr>
        <w:tblStyle w:val="3"/>
        <w:tblW w:w="52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791"/>
        <w:gridCol w:w="378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939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类别</w:t>
            </w:r>
          </w:p>
        </w:tc>
        <w:tc>
          <w:tcPr>
            <w:tcW w:w="19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139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939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主编单位</w:t>
            </w:r>
          </w:p>
        </w:tc>
        <w:tc>
          <w:tcPr>
            <w:tcW w:w="19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939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参编单位</w:t>
            </w:r>
          </w:p>
        </w:tc>
        <w:tc>
          <w:tcPr>
            <w:tcW w:w="19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939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参编单位</w:t>
            </w:r>
          </w:p>
        </w:tc>
        <w:tc>
          <w:tcPr>
            <w:tcW w:w="19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……</w:t>
            </w:r>
          </w:p>
        </w:tc>
        <w:tc>
          <w:tcPr>
            <w:tcW w:w="939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……</w:t>
            </w:r>
          </w:p>
        </w:tc>
        <w:tc>
          <w:tcPr>
            <w:tcW w:w="19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三、起草人员信息及分工</w:t>
      </w:r>
    </w:p>
    <w:tbl>
      <w:tblPr>
        <w:tblStyle w:val="3"/>
        <w:tblW w:w="52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05"/>
        <w:gridCol w:w="1468"/>
        <w:gridCol w:w="1494"/>
        <w:gridCol w:w="1269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156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76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</w:t>
            </w:r>
          </w:p>
        </w:tc>
        <w:tc>
          <w:tcPr>
            <w:tcW w:w="78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职务/职称</w:t>
            </w:r>
          </w:p>
        </w:tc>
        <w:tc>
          <w:tcPr>
            <w:tcW w:w="66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方式</w:t>
            </w:r>
          </w:p>
        </w:tc>
        <w:tc>
          <w:tcPr>
            <w:tcW w:w="121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分工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（细化到节或条）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156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ind w:right="700"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（主编）</w:t>
            </w:r>
          </w:p>
        </w:tc>
        <w:tc>
          <w:tcPr>
            <w:tcW w:w="769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8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156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（参编、联络员）</w:t>
            </w:r>
          </w:p>
        </w:tc>
        <w:tc>
          <w:tcPr>
            <w:tcW w:w="769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8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156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ind w:right="560"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（参编）</w:t>
            </w:r>
          </w:p>
        </w:tc>
        <w:tc>
          <w:tcPr>
            <w:tcW w:w="769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8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……</w:t>
            </w:r>
          </w:p>
        </w:tc>
        <w:tc>
          <w:tcPr>
            <w:tcW w:w="1156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769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8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left="1119" w:leftChars="266" w:hanging="560" w:hanging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注：1.每项标准应指定一名主编，一名联络员，由主编单位人员担任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;</w:t>
      </w:r>
    </w:p>
    <w:p>
      <w:pPr>
        <w:ind w:firstLine="1120" w:firstLineChars="4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2.编制过程中起草人员发生变化，需递交变更申请。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四、时间进度安排和预算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时间进度安排表</w:t>
      </w:r>
    </w:p>
    <w:tbl>
      <w:tblPr>
        <w:tblStyle w:val="3"/>
        <w:tblW w:w="52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929"/>
        <w:gridCol w:w="445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阶段</w:t>
            </w:r>
          </w:p>
        </w:tc>
        <w:tc>
          <w:tcPr>
            <w:tcW w:w="235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进度安排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标准起草</w:t>
            </w:r>
          </w:p>
        </w:tc>
        <w:tc>
          <w:tcPr>
            <w:tcW w:w="2358" w:type="pct"/>
            <w:noWrap w:val="0"/>
            <w:vAlign w:val="top"/>
          </w:tcPr>
          <w:p>
            <w:pPr>
              <w:spacing w:before="2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年   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～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年   月</w:t>
            </w:r>
          </w:p>
        </w:tc>
        <w:tc>
          <w:tcPr>
            <w:tcW w:w="977" w:type="pct"/>
            <w:noWrap w:val="0"/>
            <w:vAlign w:val="top"/>
          </w:tcPr>
          <w:p>
            <w:pPr>
              <w:spacing w:before="24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征求意见</w:t>
            </w:r>
          </w:p>
        </w:tc>
        <w:tc>
          <w:tcPr>
            <w:tcW w:w="235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年   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～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年   月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审稿审查</w:t>
            </w:r>
          </w:p>
        </w:tc>
        <w:tc>
          <w:tcPr>
            <w:tcW w:w="235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年   月 </w:t>
            </w:r>
            <w:r>
              <w:rPr>
                <w:rFonts w:hint="eastAsia" w:ascii="仿宋_GB2312" w:eastAsia="仿宋_GB2312"/>
                <w:sz w:val="28"/>
                <w:szCs w:val="28"/>
              </w:rPr>
              <w:t>～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年   月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报批发布</w:t>
            </w:r>
          </w:p>
        </w:tc>
        <w:tc>
          <w:tcPr>
            <w:tcW w:w="2358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年   月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～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年   月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编制经费预算总计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万元，其中：编制单位自筹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万元，其他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 万元。</w:t>
      </w:r>
    </w:p>
    <w:p>
      <w:pPr>
        <w:ind w:firstLine="560" w:firstLineChars="200"/>
        <w:rPr>
          <w:rFonts w:hint="eastAsia" w:ascii="仿宋_GB2312" w:hAnsi="宋体" w:eastAsia="仿宋_GB2312" w:cs="Verdana"/>
          <w:sz w:val="28"/>
          <w:szCs w:val="28"/>
        </w:rPr>
      </w:pPr>
      <w:r>
        <w:rPr>
          <w:rFonts w:hint="eastAsia" w:ascii="仿宋_GB2312" w:hAnsi="宋体" w:eastAsia="仿宋_GB2312" w:cs="Verdana"/>
          <w:sz w:val="28"/>
          <w:szCs w:val="28"/>
        </w:rPr>
        <w:t>注：项目进度安排原则上依据大纲约定时间执行，确因实际情况需要调整的，各阶段时间可互相调剂，但标准自立项至正式发布的周期为半年到一年。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五、标准内容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（一）标准编制目的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（二）标准适用范围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（三）标准框架结构</w:t>
      </w:r>
    </w:p>
    <w:p>
      <w:pPr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</w:t>
      </w:r>
      <w:r>
        <w:rPr>
          <w:rFonts w:hint="eastAsia"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框架结构应</w:t>
      </w:r>
      <w:r>
        <w:rPr>
          <w:rFonts w:hint="eastAsia" w:eastAsia="仿宋_GB2312"/>
          <w:sz w:val="28"/>
          <w:szCs w:val="28"/>
        </w:rPr>
        <w:t>章节</w:t>
      </w:r>
      <w:r>
        <w:rPr>
          <w:rFonts w:eastAsia="仿宋_GB2312"/>
          <w:sz w:val="28"/>
          <w:szCs w:val="28"/>
        </w:rPr>
        <w:t>完整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层次清晰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eastAsia="仿宋_GB2312"/>
          <w:sz w:val="28"/>
          <w:szCs w:val="28"/>
        </w:rPr>
        <w:t>依据</w:t>
      </w:r>
      <w:r>
        <w:rPr>
          <w:rFonts w:hint="eastAsia" w:eastAsia="仿宋_GB2312"/>
          <w:sz w:val="28"/>
          <w:szCs w:val="28"/>
        </w:rPr>
        <w:t>《</w:t>
      </w:r>
      <w:r>
        <w:rPr>
          <w:rFonts w:hint="eastAsia" w:ascii="仿宋_GB2312" w:hAnsi="宋体" w:eastAsia="仿宋_GB2312"/>
          <w:sz w:val="28"/>
          <w:szCs w:val="28"/>
        </w:rPr>
        <w:t>标准化工作导则 第1部分：标准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化文件</w:t>
      </w:r>
      <w:r>
        <w:rPr>
          <w:rFonts w:hint="eastAsia" w:ascii="仿宋_GB2312" w:hAnsi="宋体" w:eastAsia="仿宋_GB2312"/>
          <w:sz w:val="28"/>
          <w:szCs w:val="28"/>
        </w:rPr>
        <w:t>的结构和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起草规则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GB/T1.1-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2020）的规定执行。</w:t>
      </w:r>
    </w:p>
    <w:p>
      <w:pPr>
        <w:spacing w:line="360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六、项目主编/起草单位信息及盖章</w:t>
      </w:r>
    </w:p>
    <w:tbl>
      <w:tblPr>
        <w:tblStyle w:val="3"/>
        <w:tblW w:w="9512" w:type="dxa"/>
        <w:tblInd w:w="-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126"/>
        <w:gridCol w:w="1701"/>
        <w:gridCol w:w="3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200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项目主编/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起草单位</w:t>
            </w:r>
          </w:p>
        </w:tc>
        <w:tc>
          <w:tcPr>
            <w:tcW w:w="7312" w:type="dxa"/>
            <w:gridSpan w:val="3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200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主要联系人</w:t>
            </w:r>
          </w:p>
        </w:tc>
        <w:tc>
          <w:tcPr>
            <w:tcW w:w="212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348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200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邮箱</w:t>
            </w:r>
          </w:p>
        </w:tc>
        <w:tc>
          <w:tcPr>
            <w:tcW w:w="73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1" w:hRule="atLeast"/>
        </w:trPr>
        <w:tc>
          <w:tcPr>
            <w:tcW w:w="2200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主编/起草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单位意见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312" w:type="dxa"/>
            <w:gridSpan w:val="3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（签字、盖公章）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/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314ACF-B72A-4AF3-BCE6-7E34D36529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980C8F-8E22-4B9A-B3F3-8483A0AB63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48B1535-DFF0-4365-9EEC-AA563A6AB95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4B5728F-1AB4-4D4D-AC81-9E66899D205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800EF6D-8709-4A5E-9323-8695DC6F3979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6" w:fontKey="{F4E47145-359D-47B3-9750-B7414AF33E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7A295D16"/>
    <w:rsid w:val="005539A0"/>
    <w:rsid w:val="00F861F5"/>
    <w:rsid w:val="03B74E56"/>
    <w:rsid w:val="07CA07CF"/>
    <w:rsid w:val="0D3328ED"/>
    <w:rsid w:val="154871D8"/>
    <w:rsid w:val="17C84600"/>
    <w:rsid w:val="18087696"/>
    <w:rsid w:val="1C9F6277"/>
    <w:rsid w:val="263F63D5"/>
    <w:rsid w:val="2714322E"/>
    <w:rsid w:val="2B820839"/>
    <w:rsid w:val="2C1A4432"/>
    <w:rsid w:val="310A276C"/>
    <w:rsid w:val="327775A4"/>
    <w:rsid w:val="33D51FB5"/>
    <w:rsid w:val="37AC0048"/>
    <w:rsid w:val="37EC5FE6"/>
    <w:rsid w:val="3CD20252"/>
    <w:rsid w:val="3D0F0457"/>
    <w:rsid w:val="3E3C2C08"/>
    <w:rsid w:val="3E6C23D6"/>
    <w:rsid w:val="40C96399"/>
    <w:rsid w:val="418B42CF"/>
    <w:rsid w:val="469C1DF3"/>
    <w:rsid w:val="481E5F6E"/>
    <w:rsid w:val="49382AE4"/>
    <w:rsid w:val="49F70BF1"/>
    <w:rsid w:val="4DFF7B15"/>
    <w:rsid w:val="51907961"/>
    <w:rsid w:val="567F7FA4"/>
    <w:rsid w:val="574039A3"/>
    <w:rsid w:val="5A146C55"/>
    <w:rsid w:val="5AB53229"/>
    <w:rsid w:val="5E373CA1"/>
    <w:rsid w:val="608E7761"/>
    <w:rsid w:val="62A17C51"/>
    <w:rsid w:val="6663343E"/>
    <w:rsid w:val="69102507"/>
    <w:rsid w:val="71076913"/>
    <w:rsid w:val="75151DA7"/>
    <w:rsid w:val="7A2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样式1"/>
    <w:basedOn w:val="1"/>
    <w:qFormat/>
    <w:uiPriority w:val="0"/>
    <w:pPr>
      <w:widowControl/>
      <w:spacing w:line="520" w:lineRule="exact"/>
      <w:jc w:val="center"/>
      <w:textAlignment w:val="center"/>
    </w:pPr>
    <w:rPr>
      <w:rFonts w:hint="eastAsia" w:ascii="仿宋_GB2312" w:hAns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1553</Words>
  <Characters>1576</Characters>
  <Lines>0</Lines>
  <Paragraphs>0</Paragraphs>
  <TotalTime>16</TotalTime>
  <ScaleCrop>false</ScaleCrop>
  <LinksUpToDate>false</LinksUpToDate>
  <CharactersWithSpaces>1582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2022-08-12T02:26:00Z</dcterms:created>
  <dc:creator>潇楠</dc:creator>
  <cp:lastModifiedBy>风舞灵动</cp:lastModifiedBy>
  <cp:lastPrinted>2022-08-29T07:08:00Z</cp:lastPrinted>
  <dcterms:modified xsi:type="dcterms:W3CDTF">2022-08-29T08:37:22Z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17CB22B818784BC6B22CA423F301FC20</vt:lpwstr>
  </property>
</Properties>
</file>