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E5" w:rsidRPr="00F41E80" w:rsidRDefault="002A61C0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proofErr w:type="gramStart"/>
      <w:r w:rsidRPr="00F41E80"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proofErr w:type="gramEnd"/>
      <w:r w:rsidRPr="00F41E80">
        <w:rPr>
          <w:rFonts w:asciiTheme="majorEastAsia" w:eastAsiaTheme="majorEastAsia" w:hAnsiTheme="majorEastAsia" w:hint="eastAsia"/>
          <w:b/>
          <w:sz w:val="44"/>
          <w:szCs w:val="44"/>
        </w:rPr>
        <w:t>粮食和物资储备应用系统建设规范</w:t>
      </w:r>
    </w:p>
    <w:p w:rsidR="008E1D93" w:rsidRPr="00F41E80" w:rsidRDefault="002A61C0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41E80">
        <w:rPr>
          <w:rFonts w:asciiTheme="majorEastAsia" w:eastAsiaTheme="majorEastAsia" w:hAnsiTheme="majorEastAsia" w:hint="eastAsia"/>
          <w:b/>
          <w:sz w:val="44"/>
          <w:szCs w:val="44"/>
        </w:rPr>
        <w:t>——应急物资储备管理系统</w:t>
      </w:r>
      <w:proofErr w:type="gramStart"/>
      <w:r w:rsidRPr="00F41E80">
        <w:rPr>
          <w:rFonts w:asciiTheme="majorEastAsia" w:eastAsiaTheme="majorEastAsia" w:hAnsiTheme="majorEastAsia" w:hint="eastAsia"/>
          <w:b/>
          <w:sz w:val="44"/>
          <w:szCs w:val="44"/>
        </w:rPr>
        <w:t>》</w:t>
      </w:r>
      <w:proofErr w:type="gramEnd"/>
      <w:r w:rsidR="008E1D93" w:rsidRPr="00F41E80">
        <w:rPr>
          <w:rFonts w:asciiTheme="majorEastAsia" w:eastAsiaTheme="majorEastAsia" w:hAnsiTheme="majorEastAsia" w:hint="eastAsia"/>
          <w:b/>
          <w:sz w:val="44"/>
          <w:szCs w:val="44"/>
        </w:rPr>
        <w:t>团体标准</w:t>
      </w:r>
    </w:p>
    <w:p w:rsidR="00AE44E5" w:rsidRPr="00F41E80" w:rsidRDefault="008E1D93">
      <w:pPr>
        <w:spacing w:line="58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F41E80">
        <w:rPr>
          <w:rFonts w:asciiTheme="majorEastAsia" w:eastAsiaTheme="majorEastAsia" w:hAnsiTheme="majorEastAsia" w:hint="eastAsia"/>
          <w:b/>
          <w:sz w:val="44"/>
          <w:szCs w:val="44"/>
        </w:rPr>
        <w:t>（征求意见稿）</w:t>
      </w:r>
      <w:r w:rsidR="002A61C0" w:rsidRPr="00F41E80">
        <w:rPr>
          <w:rFonts w:asciiTheme="majorEastAsia" w:eastAsiaTheme="majorEastAsia" w:hAnsiTheme="majorEastAsia" w:hint="eastAsia"/>
          <w:b/>
          <w:sz w:val="44"/>
          <w:szCs w:val="44"/>
        </w:rPr>
        <w:t>编制说明</w:t>
      </w:r>
    </w:p>
    <w:p w:rsidR="00AE44E5" w:rsidRDefault="00AE44E5">
      <w:pPr>
        <w:rPr>
          <w:rFonts w:ascii="仿宋_GB2312" w:eastAsia="仿宋_GB2312" w:hAnsi="仿宋_GB2312" w:cs="仿宋_GB2312"/>
          <w:sz w:val="32"/>
          <w:szCs w:val="40"/>
        </w:rPr>
      </w:pPr>
    </w:p>
    <w:p w:rsidR="00AE44E5" w:rsidRDefault="002A61C0">
      <w:pPr>
        <w:pStyle w:val="a0"/>
        <w:numPr>
          <w:ilvl w:val="0"/>
          <w:numId w:val="4"/>
        </w:num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概述</w:t>
      </w:r>
      <w:bookmarkStart w:id="0" w:name="_GoBack"/>
      <w:bookmarkEnd w:id="0"/>
    </w:p>
    <w:p w:rsidR="00AE44E5" w:rsidRDefault="002A61C0">
      <w:pPr>
        <w:pStyle w:val="a0"/>
        <w:ind w:firstLineChars="2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后疫情时期，研究和制定适合我国粮食和物资储备行业应急物资储备管理的体系，通过定义统一的应急物资储备管理信息系统规范，统一物资编码、统一技术框架、统一应急保供模式，支撑政府“大应急”需求。规范重点研究上下互通、左右协同机制，确保应急物资储备平时储的好，战时拿的出，调得快，用得上。具体到粮食和物资储备部门，非常有必要尽快开展标准化研究，抓牢应急管理三条主线，首先是“储”，物资储备储得好，这是国家战略安全的底线，也是整个物资储备体系的管理基石。其次是“调”，对应急物资的高效调拨是储备业务的试金石，考验我们关键时刻能不能调的出，调得快。最后是“联”，政企联动、上下游协同，是整个物资管理便捷高效的助推器。</w:t>
      </w:r>
    </w:p>
    <w:p w:rsidR="00AE44E5" w:rsidRDefault="002A61C0">
      <w:pPr>
        <w:pStyle w:val="a0"/>
        <w:numPr>
          <w:ilvl w:val="0"/>
          <w:numId w:val="4"/>
        </w:num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编制过程</w:t>
      </w:r>
    </w:p>
    <w:p w:rsidR="00AE44E5" w:rsidRDefault="002A61C0">
      <w:pPr>
        <w:pStyle w:val="a0"/>
        <w:numPr>
          <w:ilvl w:val="0"/>
          <w:numId w:val="5"/>
        </w:numPr>
        <w:ind w:firstLineChars="200" w:firstLine="643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开展重点问题课题研究。</w:t>
      </w:r>
      <w:r>
        <w:rPr>
          <w:rFonts w:ascii="仿宋_GB2312" w:eastAsia="仿宋_GB2312" w:hAnsi="仿宋_GB2312" w:cs="仿宋_GB2312" w:hint="eastAsia"/>
          <w:sz w:val="32"/>
          <w:szCs w:val="40"/>
        </w:rPr>
        <w:t>202</w:t>
      </w:r>
      <w:r w:rsidR="00495569">
        <w:rPr>
          <w:rFonts w:ascii="仿宋_GB2312" w:eastAsia="仿宋_GB2312" w:hAnsi="仿宋_GB2312" w:cs="仿宋_GB2312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年1月，武汉轻工大学、河南工业大学、华信咨询设计研究院有限公司组成课题组，课题组围绕存在的问题、当前形势与政策、未来趋势和要求，组织开展系列专题调研和专家座谈会，形成课题研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究报告，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为团标编制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奠定基础。</w:t>
      </w:r>
    </w:p>
    <w:p w:rsidR="00AE44E5" w:rsidRDefault="002A61C0">
      <w:pPr>
        <w:pStyle w:val="a0"/>
        <w:numPr>
          <w:ilvl w:val="0"/>
          <w:numId w:val="5"/>
        </w:numPr>
        <w:ind w:firstLineChars="200" w:firstLine="643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起草框架内容稿。</w:t>
      </w:r>
      <w:r>
        <w:rPr>
          <w:rFonts w:ascii="仿宋_GB2312" w:eastAsia="仿宋_GB2312" w:hAnsi="仿宋_GB2312" w:cs="仿宋_GB2312" w:hint="eastAsia"/>
          <w:sz w:val="32"/>
          <w:szCs w:val="40"/>
        </w:rPr>
        <w:t>202</w:t>
      </w:r>
      <w:r w:rsidR="00B028D3">
        <w:rPr>
          <w:rFonts w:ascii="仿宋_GB2312" w:eastAsia="仿宋_GB2312" w:hAnsi="仿宋_GB2312" w:cs="仿宋_GB2312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年3月起由编制组成员组成的编制专班，分别到浙江省粮食和物资储备局、江苏省粮食和物资储备局、内蒙古粮食和物资储备局调研交流，按照“突出重点、系统化体系化、有高度能落地”等相关要求，系统梳理地标内容，进一步理顺编制思路。</w:t>
      </w:r>
    </w:p>
    <w:p w:rsidR="00AE44E5" w:rsidRDefault="002A61C0">
      <w:pPr>
        <w:pStyle w:val="a0"/>
        <w:numPr>
          <w:ilvl w:val="0"/>
          <w:numId w:val="5"/>
        </w:numPr>
        <w:ind w:firstLineChars="200" w:firstLine="643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反复修改完善。</w:t>
      </w:r>
      <w:r>
        <w:rPr>
          <w:rFonts w:ascii="仿宋_GB2312" w:eastAsia="仿宋_GB2312" w:hAnsi="仿宋_GB2312" w:cs="仿宋_GB2312" w:hint="eastAsia"/>
          <w:sz w:val="32"/>
          <w:szCs w:val="40"/>
        </w:rPr>
        <w:t>在进一步征求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相关局单位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、行业系统内部及有关机构和企业关于框架内容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稿意见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的基础上，进一步完善编制思路，经过多轮修改完善，形成征求意见稿。</w:t>
      </w:r>
    </w:p>
    <w:p w:rsidR="00AE44E5" w:rsidRDefault="002A61C0">
      <w:pPr>
        <w:pStyle w:val="a0"/>
        <w:numPr>
          <w:ilvl w:val="0"/>
          <w:numId w:val="4"/>
        </w:num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编制思路</w:t>
      </w:r>
    </w:p>
    <w:p w:rsidR="00AE44E5" w:rsidRDefault="002A61C0">
      <w:pPr>
        <w:pStyle w:val="a0"/>
        <w:ind w:firstLineChars="2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按照“集中管理、统一调拨、平时服务、灾时应急、采储结合、节约高效”原则，以满足应急物资储备管理部门的实际使用需求为出发点，以整体智治、高效服务应急突发事件指挥系统为目标，统一物资编码、功能模块和数据标准，精确汇集各级各类应急物资数据，实现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库归集、一图展示”，摸清应急物资“有多少、在哪里、谁在管”。加强物资储备智能化、精细化管理水平，提升储备效能，推动应急物资供应保障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网更加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高效安全可控，确保应急物资在关键时刻“拿得出”“调得快”“用得上”。</w:t>
      </w:r>
    </w:p>
    <w:p w:rsidR="00AE44E5" w:rsidRDefault="002A61C0">
      <w:pPr>
        <w:pStyle w:val="a0"/>
        <w:numPr>
          <w:ilvl w:val="0"/>
          <w:numId w:val="4"/>
        </w:num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主要内容</w:t>
      </w:r>
    </w:p>
    <w:p w:rsidR="00AE44E5" w:rsidRDefault="002A61C0">
      <w:pPr>
        <w:pStyle w:val="a0"/>
        <w:ind w:firstLineChars="2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（一）范围。对应急物资储备管理系统标准内容和应用范围进行定义。</w:t>
      </w:r>
    </w:p>
    <w:p w:rsidR="00AE44E5" w:rsidRDefault="002A61C0">
      <w:pPr>
        <w:pStyle w:val="a0"/>
        <w:ind w:firstLineChars="2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（二）规范性引用文件：对引用规范性文件进行阐述。</w:t>
      </w:r>
    </w:p>
    <w:p w:rsidR="00AE44E5" w:rsidRDefault="002A61C0">
      <w:pPr>
        <w:pStyle w:val="a0"/>
        <w:ind w:firstLineChars="2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（三）术语和定义：对应急物资储备管理、无线射频识别、数据中心等专业术语进行定义和解释。</w:t>
      </w:r>
    </w:p>
    <w:p w:rsidR="00AE44E5" w:rsidRDefault="002A61C0">
      <w:pPr>
        <w:pStyle w:val="a0"/>
        <w:ind w:firstLineChars="2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（四）系统体系架构：根据政府管理部门和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承储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单位对应急物资储备的监管和业务管理要求，本节对总体建设要求、业务架构、技术架构、系统基础功能和系统通信要求等标准内容进行定义。</w:t>
      </w:r>
    </w:p>
    <w:p w:rsidR="00AE44E5" w:rsidRDefault="002A61C0">
      <w:pPr>
        <w:pStyle w:val="a0"/>
        <w:ind w:firstLineChars="2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（五）编码规范：以GB/T 38565为基础对应急物资编码规则进行细化</w:t>
      </w:r>
      <w:r w:rsidR="00F22591">
        <w:rPr>
          <w:rFonts w:ascii="仿宋_GB2312" w:eastAsia="仿宋_GB2312" w:hAnsi="仿宋_GB2312" w:cs="仿宋_GB2312" w:hint="eastAsia"/>
          <w:sz w:val="32"/>
          <w:szCs w:val="40"/>
        </w:rPr>
        <w:t>和规范，满足不同区域差异化物资品类管理要求，实现物资精细化管理；以</w:t>
      </w:r>
      <w:r w:rsidR="00F22591" w:rsidRPr="00F22591">
        <w:rPr>
          <w:rFonts w:ascii="仿宋_GB2312" w:eastAsia="仿宋_GB2312" w:hAnsi="仿宋_GB2312" w:cs="仿宋_GB2312"/>
          <w:sz w:val="32"/>
          <w:szCs w:val="40"/>
        </w:rPr>
        <w:t>GB 32100-2015</w:t>
      </w:r>
      <w:r w:rsidR="00F22591">
        <w:rPr>
          <w:rFonts w:ascii="仿宋_GB2312" w:eastAsia="仿宋_GB2312" w:hAnsi="仿宋_GB2312" w:cs="仿宋_GB2312" w:hint="eastAsia"/>
          <w:sz w:val="32"/>
          <w:szCs w:val="40"/>
        </w:rPr>
        <w:t>为基础对应应急物资库编码规则进行细化和规范，满足全国范围内不同库点管理需要。</w:t>
      </w:r>
    </w:p>
    <w:p w:rsidR="00AE44E5" w:rsidRDefault="002A61C0">
      <w:pPr>
        <w:pStyle w:val="a0"/>
        <w:ind w:firstLineChars="2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（六）数据规范：对应急物资管理系统涉及数据元、接口的描述、类型和格式等内容进行定义和规范。</w:t>
      </w:r>
    </w:p>
    <w:p w:rsidR="00AE44E5" w:rsidRDefault="002A61C0">
      <w:pPr>
        <w:pStyle w:val="a0"/>
        <w:numPr>
          <w:ilvl w:val="0"/>
          <w:numId w:val="4"/>
        </w:num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下一步计划</w:t>
      </w:r>
    </w:p>
    <w:p w:rsidR="00AE44E5" w:rsidRDefault="002A61C0">
      <w:pPr>
        <w:pStyle w:val="a0"/>
        <w:ind w:firstLineChars="2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一是，持续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完善团标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。按照编制方案和进度安排，广泛征求意见，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汇智聚力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，持续修改完善。二是，推动标准落地，形成区域内甚至全国统一的应急物资信息化管理标准规范。</w:t>
      </w:r>
    </w:p>
    <w:sectPr w:rsidR="00AE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869CD6"/>
    <w:multiLevelType w:val="multilevel"/>
    <w:tmpl w:val="98869CD6"/>
    <w:lvl w:ilvl="0">
      <w:start w:val="1"/>
      <w:numFmt w:val="decimal"/>
      <w:pStyle w:val="1"/>
      <w:lvlText w:val="%1.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 "/>
      <w:lvlJc w:val="left"/>
      <w:pPr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C94E0888"/>
    <w:multiLevelType w:val="multilevel"/>
    <w:tmpl w:val="C94E0888"/>
    <w:lvl w:ilvl="0">
      <w:start w:val="1"/>
      <w:numFmt w:val="decimal"/>
      <w:lvlText w:val="第%1章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isLgl/>
      <w:lvlText w:val="%1.%2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left" w:pos="425"/>
        </w:tabs>
        <w:ind w:left="0" w:firstLine="0"/>
      </w:pPr>
      <w:rPr>
        <w:rFonts w:hint="eastAsia"/>
        <w:lang w:val="en-US"/>
      </w:rPr>
    </w:lvl>
    <w:lvl w:ilvl="3">
      <w:start w:val="1"/>
      <w:numFmt w:val="decimal"/>
      <w:isLgl/>
      <w:lvlText w:val="%1.%2.%3.%4"/>
      <w:lvlJc w:val="left"/>
      <w:pPr>
        <w:tabs>
          <w:tab w:val="left" w:pos="425"/>
        </w:tabs>
        <w:ind w:left="0" w:firstLine="0"/>
      </w:pPr>
      <w:rPr>
        <w:rFonts w:hint="eastAsia"/>
        <w:lang w:val="en-US"/>
      </w:rPr>
    </w:lvl>
    <w:lvl w:ilvl="4">
      <w:start w:val="1"/>
      <w:numFmt w:val="decimal"/>
      <w:isLgl/>
      <w:lvlText w:val="%1.%2.%3.%4.%5"/>
      <w:lvlJc w:val="left"/>
      <w:pPr>
        <w:tabs>
          <w:tab w:val="left" w:pos="425"/>
        </w:tabs>
        <w:ind w:left="0" w:firstLine="0"/>
      </w:pPr>
      <w:rPr>
        <w:rFonts w:ascii="宋体" w:eastAsia="宋体" w:hAnsi="宋体" w:cs="Calibri" w:hint="default"/>
        <w:b/>
        <w:bCs/>
      </w:rPr>
    </w:lvl>
    <w:lvl w:ilvl="5">
      <w:start w:val="1"/>
      <w:numFmt w:val="decimal"/>
      <w:pStyle w:val="6"/>
      <w:isLgl/>
      <w:lvlText w:val="%1.%2.%3.%4.%5.%6"/>
      <w:lvlJc w:val="left"/>
      <w:pPr>
        <w:tabs>
          <w:tab w:val="left" w:pos="425"/>
        </w:tabs>
        <w:ind w:left="0" w:firstLine="0"/>
      </w:pPr>
      <w:rPr>
        <w:rFonts w:ascii="宋体" w:eastAsia="宋体" w:hAnsi="宋体" w:cs="Calibri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425"/>
        </w:tabs>
        <w:ind w:left="0" w:firstLine="0"/>
      </w:pPr>
      <w:rPr>
        <w:rFonts w:ascii="宋体" w:eastAsia="宋体" w:hAnsi="宋体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abstractNum w:abstractNumId="2" w15:restartNumberingAfterBreak="0">
    <w:nsid w:val="CE4CB1C3"/>
    <w:multiLevelType w:val="multilevel"/>
    <w:tmpl w:val="CE4CB1C3"/>
    <w:lvl w:ilvl="0">
      <w:start w:val="1"/>
      <w:numFmt w:val="decimal"/>
      <w:pStyle w:val="10"/>
      <w:suff w:val="nothing"/>
      <w:lvlText w:val="%1、"/>
      <w:lvlJc w:val="left"/>
      <w:pPr>
        <w:ind w:left="426" w:firstLine="0"/>
      </w:pPr>
      <w:rPr>
        <w:rFonts w:ascii="Times New Roman" w:hAnsi="Times New Roman" w:hint="default"/>
        <w:b w:val="0"/>
        <w:i w:val="0"/>
        <w:sz w:val="28"/>
        <w:szCs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568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20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decimal"/>
      <w:lvlText w:val="%1.%2.%3.%4.%5.%6.%7.%8."/>
      <w:lvlJc w:val="left"/>
      <w:pPr>
        <w:tabs>
          <w:tab w:val="left" w:pos="-922"/>
        </w:tabs>
        <w:ind w:left="-92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4DF3BA8F"/>
    <w:multiLevelType w:val="singleLevel"/>
    <w:tmpl w:val="4DF3BA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A53432A"/>
    <w:multiLevelType w:val="singleLevel"/>
    <w:tmpl w:val="7A53432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g5OGEwMDljZDA2ZDZmYTc0MGY5Y2IyZDIzNTMifQ=="/>
  </w:docVars>
  <w:rsids>
    <w:rsidRoot w:val="00AE44E5"/>
    <w:rsid w:val="002A61C0"/>
    <w:rsid w:val="00356F30"/>
    <w:rsid w:val="00434A0B"/>
    <w:rsid w:val="00495569"/>
    <w:rsid w:val="008E1D93"/>
    <w:rsid w:val="00AE44E5"/>
    <w:rsid w:val="00B028D3"/>
    <w:rsid w:val="00E40975"/>
    <w:rsid w:val="00F22591"/>
    <w:rsid w:val="00F41E80"/>
    <w:rsid w:val="0616139B"/>
    <w:rsid w:val="09D24FC8"/>
    <w:rsid w:val="11A72567"/>
    <w:rsid w:val="1B0A5A43"/>
    <w:rsid w:val="297A4CCD"/>
    <w:rsid w:val="29EB1492"/>
    <w:rsid w:val="2AA5617C"/>
    <w:rsid w:val="30834B24"/>
    <w:rsid w:val="44760BBA"/>
    <w:rsid w:val="477C37DA"/>
    <w:rsid w:val="57111750"/>
    <w:rsid w:val="58C303D3"/>
    <w:rsid w:val="58CF693B"/>
    <w:rsid w:val="636B0C85"/>
    <w:rsid w:val="63EC5B8A"/>
    <w:rsid w:val="67065991"/>
    <w:rsid w:val="6EF064AA"/>
    <w:rsid w:val="70B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D9C5B"/>
  <w15:docId w15:val="{5B884F10-388B-45FD-9D76-1D91BE19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link w:val="Char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pageBreakBefore/>
      <w:numPr>
        <w:numId w:val="1"/>
      </w:numPr>
      <w:tabs>
        <w:tab w:val="left" w:pos="425"/>
        <w:tab w:val="left" w:pos="560"/>
      </w:tabs>
      <w:spacing w:before="240" w:after="240"/>
      <w:jc w:val="left"/>
      <w:outlineLvl w:val="0"/>
    </w:pPr>
    <w:rPr>
      <w:rFonts w:eastAsia="黑体" w:cs="Times New Roman"/>
      <w:b/>
      <w:kern w:val="44"/>
      <w:sz w:val="36"/>
    </w:rPr>
  </w:style>
  <w:style w:type="paragraph" w:styleId="20">
    <w:name w:val="heading 2"/>
    <w:basedOn w:val="a"/>
    <w:next w:val="a"/>
    <w:link w:val="21"/>
    <w:semiHidden/>
    <w:unhideWhenUsed/>
    <w:qFormat/>
    <w:pPr>
      <w:numPr>
        <w:ilvl w:val="1"/>
        <w:numId w:val="1"/>
      </w:numPr>
      <w:snapToGrid w:val="0"/>
      <w:spacing w:before="120" w:after="120"/>
      <w:jc w:val="left"/>
      <w:outlineLvl w:val="1"/>
    </w:pPr>
    <w:rPr>
      <w:rFonts w:ascii="Times New Roman" w:eastAsia="楷体_GB2312" w:hAnsi="Times New Roman" w:cs="Times New Roman"/>
      <w:color w:val="000000"/>
      <w:kern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tabs>
        <w:tab w:val="left" w:pos="425"/>
        <w:tab w:val="left" w:pos="560"/>
      </w:tabs>
      <w:adjustRightInd w:val="0"/>
      <w:spacing w:before="120" w:after="120"/>
      <w:jc w:val="left"/>
      <w:outlineLvl w:val="2"/>
    </w:pPr>
    <w:rPr>
      <w:rFonts w:eastAsia="黑体" w:cs="Times New Roman"/>
      <w:sz w:val="30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tabs>
        <w:tab w:val="left" w:pos="425"/>
        <w:tab w:val="left" w:pos="560"/>
      </w:tabs>
      <w:spacing w:before="240" w:after="240"/>
      <w:jc w:val="left"/>
      <w:outlineLvl w:val="3"/>
    </w:pPr>
    <w:rPr>
      <w:rFonts w:ascii="Cambria" w:hAnsi="Cambria" w:cs="Arial"/>
      <w:b/>
      <w:kern w:val="0"/>
      <w:sz w:val="24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tabs>
        <w:tab w:val="left" w:pos="425"/>
      </w:tabs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tabs>
        <w:tab w:val="left" w:pos="425"/>
      </w:tabs>
      <w:spacing w:before="240" w:after="64" w:line="317" w:lineRule="auto"/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pPr>
      <w:ind w:firstLine="640"/>
    </w:pPr>
  </w:style>
  <w:style w:type="paragraph" w:styleId="a4">
    <w:name w:val="Normal Indent"/>
    <w:basedOn w:val="a"/>
    <w:qFormat/>
    <w:pPr>
      <w:ind w:firstLineChars="200" w:firstLine="420"/>
    </w:pPr>
    <w:rPr>
      <w:rFonts w:cs="Times New Roman"/>
      <w:sz w:val="24"/>
    </w:rPr>
  </w:style>
  <w:style w:type="table" w:styleId="a5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qFormat/>
    <w:rPr>
      <w:rFonts w:ascii="Calibri" w:eastAsia="黑体" w:hAnsi="Calibri" w:cs="Times New Roman"/>
      <w:kern w:val="2"/>
      <w:sz w:val="30"/>
    </w:rPr>
  </w:style>
  <w:style w:type="paragraph" w:customStyle="1" w:styleId="a6">
    <w:name w:val="正文（首行缩进）"/>
    <w:basedOn w:val="a"/>
    <w:qFormat/>
    <w:pPr>
      <w:spacing w:before="156" w:after="156"/>
      <w:ind w:firstLine="480"/>
    </w:pPr>
    <w:rPr>
      <w:rFonts w:cs="Times New Roman"/>
      <w:sz w:val="24"/>
    </w:rPr>
  </w:style>
  <w:style w:type="character" w:customStyle="1" w:styleId="11">
    <w:name w:val="标题 1 字符"/>
    <w:link w:val="10"/>
    <w:qFormat/>
    <w:rPr>
      <w:rFonts w:ascii="Calibri" w:eastAsia="黑体" w:hAnsi="Calibri" w:cs="Times New Roman"/>
      <w:b/>
      <w:kern w:val="44"/>
      <w:sz w:val="36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等线" w:hAnsi="等线" w:cs="Times New Roman"/>
      <w:sz w:val="24"/>
      <w:szCs w:val="22"/>
    </w:rPr>
  </w:style>
  <w:style w:type="paragraph" w:customStyle="1" w:styleId="A8">
    <w:name w:val="A正文"/>
    <w:basedOn w:val="a"/>
    <w:qFormat/>
    <w:pPr>
      <w:spacing w:before="60" w:after="60"/>
      <w:ind w:firstLineChars="200" w:firstLine="200"/>
    </w:pPr>
    <w:rPr>
      <w:rFonts w:cs="Times New Roman"/>
      <w:sz w:val="24"/>
    </w:rPr>
  </w:style>
  <w:style w:type="character" w:customStyle="1" w:styleId="Char">
    <w:name w:val="正文 Char"/>
    <w:qFormat/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paragraph" w:customStyle="1" w:styleId="2">
    <w:name w:val="标题 2（绿盟科技）"/>
    <w:basedOn w:val="20"/>
    <w:next w:val="a"/>
    <w:uiPriority w:val="99"/>
    <w:qFormat/>
    <w:pPr>
      <w:numPr>
        <w:numId w:val="3"/>
      </w:numPr>
      <w:tabs>
        <w:tab w:val="left" w:pos="420"/>
        <w:tab w:val="left" w:pos="425"/>
        <w:tab w:val="right" w:leader="dot" w:pos="8296"/>
      </w:tabs>
      <w:spacing w:line="579" w:lineRule="exact"/>
      <w:ind w:left="0" w:firstLine="0"/>
    </w:pPr>
    <w:rPr>
      <w:rFonts w:ascii="Arial" w:hAnsi="Arial"/>
      <w:kern w:val="44"/>
    </w:rPr>
  </w:style>
  <w:style w:type="paragraph" w:customStyle="1" w:styleId="1">
    <w:name w:val="标题 1（绿盟科技）"/>
    <w:basedOn w:val="a"/>
    <w:qFormat/>
    <w:pPr>
      <w:numPr>
        <w:numId w:val="3"/>
      </w:numPr>
    </w:pPr>
  </w:style>
  <w:style w:type="character" w:customStyle="1" w:styleId="21">
    <w:name w:val="标题 2 字符"/>
    <w:link w:val="20"/>
    <w:uiPriority w:val="9"/>
    <w:qFormat/>
    <w:rPr>
      <w:rFonts w:ascii="Times New Roman" w:eastAsia="楷体_GB2312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张云建</cp:lastModifiedBy>
  <cp:revision>10</cp:revision>
  <dcterms:created xsi:type="dcterms:W3CDTF">2022-06-19T01:57:00Z</dcterms:created>
  <dcterms:modified xsi:type="dcterms:W3CDTF">2022-09-14T10:56:00Z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9615061A3DD143E7A5811518356B74BD</vt:lpwstr>
  </property>
</Properties>
</file>