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hSpace="0" w:vSpace="0" w:wrap="auto" w:vAnchor="margin" w:hAnchor="text" w:yAlign="inline"/>
        <w:ind w:right="-506" w:rightChars="-241"/>
        <w:outlineLvl w:val="0"/>
      </w:pPr>
      <w:bookmarkStart w:id="0" w:name="_Toc434508409"/>
      <w:bookmarkStart w:id="1" w:name="_Toc434853433"/>
      <w:bookmarkStart w:id="2" w:name="_Toc432690032"/>
      <w:bookmarkStart w:id="3" w:name="OLE_LINK4"/>
      <w:bookmarkStart w:id="4" w:name="OLE_LINK5"/>
      <w:r>
        <w:t>ICS</w:t>
      </w:r>
      <w:r>
        <w:rPr>
          <w:rFonts w:hint="eastAsia"/>
        </w:rPr>
        <w:t xml:space="preserve">  </w:t>
      </w:r>
      <w:bookmarkEnd w:id="0"/>
      <w:bookmarkEnd w:id="1"/>
      <w:bookmarkEnd w:id="2"/>
      <w:r>
        <w:rPr>
          <w:rFonts w:hint="eastAsia"/>
        </w:rPr>
        <w:t>XXX</w:t>
      </w:r>
    </w:p>
    <w:p>
      <w:pPr>
        <w:pStyle w:val="7"/>
        <w:framePr w:hSpace="0" w:vSpace="0" w:wrap="auto" w:vAnchor="margin" w:hAnchor="text" w:yAlign="inline"/>
        <w:tabs>
          <w:tab w:val="left" w:pos="9360"/>
        </w:tabs>
        <w:ind w:left="-420" w:leftChars="-200" w:firstLine="420" w:firstLineChars="200"/>
        <w:outlineLvl w:val="0"/>
      </w:pPr>
      <w:r>
        <w:rPr>
          <w:rFonts w:hint="eastAsia"/>
        </w:rPr>
        <w:t>CCS XXX</w:t>
      </w:r>
    </w:p>
    <w:p>
      <w:pPr>
        <w:ind w:firstLine="0" w:firstLineChars="0"/>
        <w:rPr>
          <w:rFonts w:ascii="宋体" w:hAnsi="宋体"/>
          <w:sz w:val="32"/>
          <w:szCs w:val="20"/>
        </w:rPr>
      </w:pPr>
    </w:p>
    <w:p>
      <w:pPr>
        <w:ind w:firstLine="242" w:firstLineChars="23"/>
        <w:jc w:val="center"/>
        <w:rPr>
          <w:rFonts w:ascii="黑体" w:hAnsi="黑体" w:eastAsia="黑体"/>
          <w:b/>
          <w:bCs/>
          <w:snapToGrid w:val="0"/>
          <w:spacing w:val="164"/>
          <w:kern w:val="0"/>
          <w:sz w:val="72"/>
          <w:szCs w:val="72"/>
        </w:rPr>
      </w:pPr>
      <w:r>
        <w:rPr>
          <w:rFonts w:hint="eastAsia" w:ascii="黑体" w:hAnsi="黑体" w:eastAsia="黑体"/>
          <w:b/>
          <w:bCs/>
          <w:snapToGrid w:val="0"/>
          <w:spacing w:val="164"/>
          <w:kern w:val="0"/>
          <w:sz w:val="72"/>
          <w:szCs w:val="72"/>
        </w:rPr>
        <w:t>团 体 标 准</w:t>
      </w:r>
    </w:p>
    <w:p>
      <w:pPr>
        <w:wordWrap w:val="0"/>
        <w:ind w:firstLine="3080" w:firstLineChars="1100"/>
        <w:jc w:val="righ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T/CCOA</w:t>
      </w:r>
      <w:r>
        <w:rPr>
          <w:rFonts w:hint="eastAsia"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×××—××××</w:t>
      </w:r>
    </w:p>
    <w:p>
      <w:pPr>
        <w:ind w:firstLine="46" w:firstLineChars="23"/>
        <w:jc w:val="right"/>
        <w:rPr>
          <w:rFonts w:eastAsia="黑体"/>
          <w:b/>
          <w:bCs/>
          <w:spacing w:val="164"/>
          <w:sz w:val="28"/>
          <w:szCs w:val="28"/>
        </w:rPr>
      </w:pPr>
      <w:r>
        <w:rPr>
          <w:rFonts w:ascii="宋体" w:hAnsi="宋体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350520</wp:posOffset>
                </wp:positionV>
                <wp:extent cx="5819775" cy="0"/>
                <wp:effectExtent l="0" t="0" r="9525" b="1905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15pt;margin-top:27.6pt;height:0pt;width:458.25pt;z-index:251659264;mso-width-relative:page;mso-height-relative:page;" filled="f" stroked="t" coordsize="21600,21600" o:gfxdata="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n+W4bXAAAACQEAAA8AAAAAAAAAAQAgAAAAIgAAAGRycy9k&#10;b3ducmV2LnhtbFBLAQIUABQAAAAIAIdO4kC/UUGaygEAAJ8DAAAOAAAAAAAAAAEAIAAAACY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883"/>
        <w:rPr>
          <w:rFonts w:ascii="宋体" w:hAnsi="宋体"/>
          <w:b/>
          <w:bCs/>
          <w:sz w:val="44"/>
          <w:szCs w:val="20"/>
        </w:rPr>
      </w:pPr>
    </w:p>
    <w:p>
      <w:pPr>
        <w:spacing w:line="800" w:lineRule="exact"/>
        <w:ind w:firstLine="0" w:firstLineChars="0"/>
        <w:rPr>
          <w:rFonts w:ascii="宋体" w:hAnsi="宋体"/>
          <w:sz w:val="52"/>
          <w:szCs w:val="20"/>
        </w:rPr>
      </w:pPr>
    </w:p>
    <w:p>
      <w:pPr>
        <w:spacing w:line="800" w:lineRule="exact"/>
        <w:ind w:firstLine="0" w:firstLineChars="0"/>
        <w:rPr>
          <w:rFonts w:ascii="黑体" w:hAnsi="宋体" w:eastAsia="黑体"/>
          <w:b/>
          <w:bCs/>
          <w:sz w:val="52"/>
          <w:szCs w:val="20"/>
        </w:rPr>
      </w:pPr>
    </w:p>
    <w:p>
      <w:pPr>
        <w:spacing w:line="1000" w:lineRule="exact"/>
        <w:ind w:firstLine="0" w:firstLineChars="0"/>
        <w:jc w:val="center"/>
        <w:outlineLvl w:val="0"/>
        <w:rPr>
          <w:rFonts w:ascii="黑体" w:hAnsi="宋体" w:eastAsia="黑体"/>
          <w:b/>
          <w:bCs/>
          <w:sz w:val="52"/>
          <w:szCs w:val="20"/>
        </w:rPr>
      </w:pPr>
      <w:r>
        <w:rPr>
          <w:rFonts w:hint="eastAsia" w:ascii="黑体" w:hAnsi="宋体" w:eastAsia="黑体"/>
          <w:b/>
          <w:bCs/>
          <w:sz w:val="52"/>
          <w:szCs w:val="20"/>
        </w:rPr>
        <w:t>红薯粉丝中苋菜红的测定 表面增强拉曼光谱法</w:t>
      </w:r>
    </w:p>
    <w:p>
      <w:pPr>
        <w:spacing w:line="1000" w:lineRule="exact"/>
        <w:ind w:firstLine="562"/>
        <w:jc w:val="center"/>
        <w:rPr>
          <w:snapToGrid w:val="0"/>
          <w:kern w:val="0"/>
          <w:sz w:val="52"/>
        </w:rPr>
      </w:pPr>
      <w:r>
        <w:rPr>
          <w:rFonts w:eastAsia="黑体"/>
          <w:b/>
          <w:bCs/>
          <w:sz w:val="28"/>
          <w:szCs w:val="20"/>
        </w:rPr>
        <w:t>Determination of amaranth in Sweet potato vermicelli- Surface Enhanced Raman Spectroscopy</w:t>
      </w:r>
    </w:p>
    <w:p>
      <w:pPr>
        <w:spacing w:line="800" w:lineRule="exact"/>
        <w:ind w:left="0" w:leftChars="0" w:firstLine="0" w:firstLineChars="0"/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（征求意见稿）</w:t>
      </w:r>
    </w:p>
    <w:p>
      <w:pPr>
        <w:spacing w:line="400" w:lineRule="exact"/>
        <w:ind w:firstLine="1040"/>
        <w:rPr>
          <w:sz w:val="52"/>
        </w:rPr>
      </w:pPr>
    </w:p>
    <w:p>
      <w:pPr>
        <w:spacing w:line="400" w:lineRule="exact"/>
        <w:ind w:firstLine="1040"/>
        <w:rPr>
          <w:sz w:val="52"/>
        </w:rPr>
      </w:pPr>
    </w:p>
    <w:p>
      <w:pPr>
        <w:spacing w:line="400" w:lineRule="exact"/>
        <w:ind w:firstLine="0" w:firstLineChars="0"/>
      </w:pPr>
      <w:bookmarkStart w:id="29" w:name="_GoBack"/>
      <w:bookmarkEnd w:id="29"/>
    </w:p>
    <w:p>
      <w:pPr>
        <w:spacing w:line="400" w:lineRule="exact"/>
        <w:ind w:firstLine="420"/>
      </w:pPr>
    </w:p>
    <w:p>
      <w:pPr>
        <w:spacing w:line="280" w:lineRule="exact"/>
        <w:ind w:firstLine="0" w:firstLineChars="0"/>
        <w:rPr>
          <w:rFonts w:ascii="黑体" w:eastAsia="黑体"/>
          <w:b/>
          <w:bCs/>
          <w:sz w:val="28"/>
          <w:szCs w:val="20"/>
        </w:rPr>
      </w:pPr>
      <w:r>
        <w:rPr>
          <w:rFonts w:hint="eastAsia" w:ascii="黑体" w:eastAsia="黑体"/>
          <w:b/>
          <w:bCs/>
          <w:sz w:val="28"/>
          <w:szCs w:val="20"/>
        </w:rPr>
        <w:t>20XX</w:t>
      </w:r>
      <w:r>
        <w:rPr>
          <w:rFonts w:hint="eastAsia" w:ascii="黑体" w:hAnsi="宋体" w:eastAsia="黑体"/>
          <w:b/>
          <w:bCs/>
          <w:sz w:val="28"/>
          <w:szCs w:val="20"/>
        </w:rPr>
        <w:t>-</w:t>
      </w:r>
      <w:r>
        <w:rPr>
          <w:rFonts w:hint="eastAsia" w:ascii="黑体" w:eastAsia="黑体"/>
          <w:b/>
          <w:bCs/>
          <w:sz w:val="28"/>
          <w:szCs w:val="20"/>
        </w:rPr>
        <w:t>XX</w:t>
      </w:r>
      <w:r>
        <w:rPr>
          <w:rFonts w:hint="eastAsia" w:ascii="黑体" w:hAnsi="宋体" w:eastAsia="黑体"/>
          <w:b/>
          <w:bCs/>
          <w:sz w:val="28"/>
          <w:szCs w:val="20"/>
        </w:rPr>
        <w:t>-</w:t>
      </w:r>
      <w:r>
        <w:rPr>
          <w:rFonts w:hint="eastAsia" w:ascii="黑体" w:eastAsia="黑体"/>
          <w:b/>
          <w:bCs/>
          <w:sz w:val="28"/>
          <w:szCs w:val="20"/>
        </w:rPr>
        <w:t>XX</w:t>
      </w:r>
      <w:r>
        <w:rPr>
          <w:rFonts w:hint="eastAsia" w:ascii="黑体" w:hAnsi="宋体" w:eastAsia="黑体"/>
          <w:b/>
          <w:bCs/>
          <w:sz w:val="18"/>
          <w:szCs w:val="20"/>
        </w:rPr>
        <w:t xml:space="preserve"> </w:t>
      </w:r>
      <w:r>
        <w:rPr>
          <w:rFonts w:hint="eastAsia" w:ascii="黑体" w:hAnsi="宋体" w:eastAsia="黑体"/>
          <w:b/>
          <w:bCs/>
          <w:sz w:val="28"/>
          <w:szCs w:val="20"/>
        </w:rPr>
        <w:t xml:space="preserve">发布                             </w:t>
      </w:r>
      <w:r>
        <w:rPr>
          <w:rFonts w:hint="eastAsia" w:ascii="黑体" w:eastAsia="黑体"/>
          <w:b/>
          <w:bCs/>
          <w:sz w:val="28"/>
          <w:szCs w:val="20"/>
        </w:rPr>
        <w:t>20XX</w:t>
      </w:r>
      <w:r>
        <w:rPr>
          <w:rFonts w:hint="eastAsia" w:ascii="黑体" w:hAnsi="宋体" w:eastAsia="黑体"/>
          <w:b/>
          <w:bCs/>
          <w:sz w:val="28"/>
          <w:szCs w:val="20"/>
        </w:rPr>
        <w:t>-</w:t>
      </w:r>
      <w:r>
        <w:rPr>
          <w:rFonts w:hint="eastAsia" w:ascii="黑体" w:eastAsia="黑体"/>
          <w:b/>
          <w:bCs/>
          <w:sz w:val="28"/>
          <w:szCs w:val="20"/>
        </w:rPr>
        <w:t>XX</w:t>
      </w:r>
      <w:r>
        <w:rPr>
          <w:rFonts w:hint="eastAsia" w:ascii="黑体" w:hAnsi="宋体" w:eastAsia="黑体"/>
          <w:b/>
          <w:bCs/>
          <w:sz w:val="28"/>
          <w:szCs w:val="20"/>
        </w:rPr>
        <w:t>-</w:t>
      </w:r>
      <w:r>
        <w:rPr>
          <w:rFonts w:hint="eastAsia" w:ascii="黑体" w:eastAsia="黑体"/>
          <w:b/>
          <w:bCs/>
          <w:sz w:val="28"/>
          <w:szCs w:val="20"/>
        </w:rPr>
        <w:t>XX</w:t>
      </w:r>
      <w:r>
        <w:rPr>
          <w:rFonts w:hint="eastAsia" w:ascii="黑体" w:hAnsi="宋体" w:eastAsia="黑体"/>
          <w:b/>
          <w:bCs/>
          <w:sz w:val="28"/>
          <w:szCs w:val="20"/>
        </w:rPr>
        <w:t>实施</w:t>
      </w:r>
    </w:p>
    <w:p>
      <w:pPr>
        <w:spacing w:line="280" w:lineRule="exact"/>
        <w:ind w:firstLine="400"/>
        <w:rPr>
          <w:rFonts w:ascii="黑体" w:eastAsia="黑体"/>
          <w:sz w:val="28"/>
          <w:szCs w:val="20"/>
        </w:rPr>
      </w:pPr>
      <w:r>
        <w:rPr>
          <w:rFonts w:ascii="黑体" w:eastAsia="黑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61595</wp:posOffset>
                </wp:positionV>
                <wp:extent cx="5457825" cy="0"/>
                <wp:effectExtent l="0" t="0" r="9525" b="1905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6.75pt;margin-top:4.85pt;height:0pt;width:429.75pt;z-index:251660288;mso-width-relative:page;mso-height-relative:page;" filled="f" stroked="t" coordsize="21600,21600" o:gfxdata="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NjWgNYAAAAHAQAADwAAAAAAAAABACAAAAAiAAAAZHJzL2Rvd25y&#10;ZXYueG1sUEsBAhQAFAAAAAgAh07iQAtpF5vHAQAAnwMAAA4AAAAAAAAAAQAgAAAAJ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002" w:firstLineChars="1071"/>
        <w:textAlignment w:val="center"/>
        <w:rPr>
          <w:rFonts w:eastAsia="黑体"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28"/>
          <w:szCs w:val="20"/>
        </w:rPr>
        <w:t xml:space="preserve">中国粮油学会  </w:t>
      </w:r>
      <w:r>
        <w:rPr>
          <w:rFonts w:hint="eastAsia" w:eastAsia="黑体"/>
          <w:sz w:val="28"/>
          <w:szCs w:val="28"/>
        </w:rPr>
        <w:t>发布</w:t>
      </w:r>
      <w:bookmarkEnd w:id="3"/>
      <w:bookmarkEnd w:id="4"/>
    </w:p>
    <w:p>
      <w:pPr>
        <w:pStyle w:val="16"/>
        <w:ind w:firstLine="420"/>
      </w:pPr>
      <w:r>
        <w:rPr>
          <w:rFonts w:hint="eastAsia"/>
        </w:rPr>
        <w:t>前</w:t>
      </w:r>
      <w:bookmarkStart w:id="5" w:name="BKQY"/>
      <w:r>
        <w:rPr>
          <w:rFonts w:hint="eastAsia" w:ascii="MS Mincho" w:hAnsi="MS Mincho" w:eastAsia="MS Mincho" w:cs="MS Mincho"/>
        </w:rPr>
        <w:t>  </w:t>
      </w:r>
      <w:r>
        <w:rPr>
          <w:rFonts w:hint="eastAsia"/>
        </w:rPr>
        <w:t>言</w:t>
      </w:r>
      <w:bookmarkEnd w:id="5"/>
    </w:p>
    <w:p>
      <w:pPr>
        <w:pStyle w:val="19"/>
        <w:ind w:firstLine="420"/>
        <w:rPr>
          <w:rFonts w:ascii="宋体" w:hAnsi="宋体"/>
        </w:rPr>
      </w:pPr>
      <w:r>
        <w:rPr>
          <w:rFonts w:ascii="宋体" w:hAnsi="宋体"/>
        </w:rPr>
        <w:t>本标准按照</w:t>
      </w:r>
      <w:r>
        <w:t>GB/T1.1—</w:t>
      </w:r>
      <w:r>
        <w:rPr>
          <w:rFonts w:hint="eastAsia"/>
          <w:color w:val="000000"/>
        </w:rPr>
        <w:t>2020</w:t>
      </w:r>
      <w:r>
        <w:rPr>
          <w:rFonts w:ascii="宋体" w:hAnsi="宋体"/>
        </w:rPr>
        <w:t>给出的规则起草。</w:t>
      </w:r>
    </w:p>
    <w:p>
      <w:pPr>
        <w:pStyle w:val="19"/>
        <w:ind w:firstLine="420"/>
        <w:rPr>
          <w:rFonts w:ascii="宋体" w:hAnsi="宋体"/>
        </w:rPr>
      </w:pPr>
      <w:r>
        <w:rPr>
          <w:rFonts w:ascii="宋体" w:hAnsi="宋体"/>
        </w:rPr>
        <w:t>本标准由</w:t>
      </w:r>
      <w:r>
        <w:rPr>
          <w:rFonts w:hint="eastAsia" w:ascii="宋体" w:hAnsi="宋体"/>
        </w:rPr>
        <w:t>中国粮油学会</w:t>
      </w:r>
      <w:r>
        <w:rPr>
          <w:rFonts w:ascii="宋体" w:hAnsi="宋体"/>
        </w:rPr>
        <w:t>提出。</w:t>
      </w:r>
    </w:p>
    <w:p>
      <w:pPr>
        <w:pStyle w:val="19"/>
        <w:ind w:firstLine="420"/>
        <w:rPr>
          <w:rFonts w:ascii="宋体" w:hAnsi="宋体"/>
        </w:rPr>
      </w:pPr>
      <w:r>
        <w:rPr>
          <w:rFonts w:ascii="宋体" w:hAnsi="宋体"/>
        </w:rPr>
        <w:t>本标准由全国粮油标准化技术委员会（SAT/TC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270</w:t>
      </w:r>
      <w:r>
        <w:rPr>
          <w:rFonts w:hint="eastAsia" w:ascii="宋体" w:hAnsi="宋体"/>
        </w:rPr>
        <w:t>）归口。</w:t>
      </w:r>
    </w:p>
    <w:p>
      <w:pPr>
        <w:pStyle w:val="19"/>
        <w:ind w:firstLine="420"/>
        <w:rPr>
          <w:rFonts w:ascii="宋体" w:hAnsi="宋体"/>
        </w:rPr>
      </w:pPr>
      <w:r>
        <w:rPr>
          <w:rFonts w:hint="eastAsia" w:ascii="宋体" w:hAnsi="宋体"/>
        </w:rPr>
        <w:t>本标准主要起草单位：</w:t>
      </w:r>
      <w:r>
        <w:rPr>
          <w:rFonts w:ascii="宋体" w:hAnsi="宋体"/>
        </w:rPr>
        <w:t>江南大学、普拉瑞思科学仪器（苏州）有限公司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苏州市食品检验检测中心、苏州市产品质量监督检验院</w:t>
      </w:r>
      <w:r>
        <w:rPr>
          <w:rFonts w:hint="eastAsia" w:ascii="宋体" w:hAnsi="宋体"/>
        </w:rPr>
        <w:t>。</w:t>
      </w:r>
    </w:p>
    <w:p>
      <w:pPr>
        <w:pStyle w:val="19"/>
        <w:ind w:firstLine="420"/>
        <w:rPr>
          <w:rFonts w:ascii="宋体" w:hAnsi="宋体"/>
        </w:rPr>
      </w:pPr>
      <w:r>
        <w:rPr>
          <w:rFonts w:hint="eastAsia" w:ascii="宋体" w:hAnsi="宋体"/>
        </w:rPr>
        <w:t>本标准主要起草人：</w:t>
      </w:r>
      <w:r>
        <w:rPr>
          <w:rFonts w:ascii="宋体" w:hAnsi="宋体"/>
        </w:rPr>
        <w:t>姚卫蓉、杨方威、郭亚辉、谢云飞、于航、成玉梁、董祥辉、施思倩、张茜、池可心、王慧慧、胡振阳、马宁、常化仿、倪天瑞</w:t>
      </w:r>
      <w:r>
        <w:rPr>
          <w:rFonts w:hint="eastAsia" w:ascii="宋体" w:hAnsi="宋体"/>
        </w:rPr>
        <w:t>、叶湖、金萍、纪丽君。</w:t>
      </w:r>
    </w:p>
    <w:p>
      <w:pPr>
        <w:pStyle w:val="19"/>
        <w:ind w:firstLine="420"/>
        <w:rPr>
          <w:rFonts w:ascii="宋体" w:hAnsi="宋体"/>
        </w:rPr>
      </w:pPr>
    </w:p>
    <w:p>
      <w:pPr>
        <w:pStyle w:val="19"/>
        <w:ind w:firstLine="420"/>
        <w:rPr>
          <w:rFonts w:ascii="宋体" w:hAnsi="宋体"/>
          <w:color w:val="FF0000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14"/>
        <w:numPr>
          <w:ilvl w:val="0"/>
          <w:numId w:val="0"/>
        </w:numPr>
        <w:jc w:val="center"/>
      </w:pPr>
      <w:bookmarkStart w:id="6" w:name="_Toc1649845"/>
      <w:r>
        <w:rPr>
          <w:rFonts w:hint="eastAsia" w:hAnsi="黑体" w:cs="仿宋_GB2312"/>
          <w:sz w:val="32"/>
        </w:rPr>
        <w:t>红薯粉丝中苋菜红的测定 表面增强拉曼光谱法</w:t>
      </w:r>
    </w:p>
    <w:p>
      <w:pPr>
        <w:pStyle w:val="14"/>
        <w:ind w:firstLine="420"/>
      </w:pPr>
      <w:r>
        <w:t>范围</w:t>
      </w:r>
      <w:bookmarkEnd w:id="6"/>
    </w:p>
    <w:p>
      <w:pPr>
        <w:pStyle w:val="20"/>
        <w:spacing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Cs w:val="21"/>
        </w:rPr>
        <w:t>本标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准规定了</w:t>
      </w:r>
      <w:r>
        <w:rPr>
          <w:rFonts w:hint="eastAsia" w:hAnsi="黑体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红薯粉丝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苋菜红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表面增强拉曼光谱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检测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方法。</w:t>
      </w:r>
    </w:p>
    <w:p>
      <w:pPr>
        <w:pStyle w:val="20"/>
        <w:spacing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本标准适用范围主要为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红薯粉丝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违禁添加苋菜红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的检测。</w:t>
      </w:r>
    </w:p>
    <w:p>
      <w:pPr>
        <w:pStyle w:val="14"/>
        <w:ind w:firstLine="420"/>
        <w:rPr>
          <w:rFonts w:hAnsi="黑体"/>
          <w:szCs w:val="21"/>
        </w:rPr>
      </w:pPr>
      <w:bookmarkStart w:id="7" w:name="_Toc1649846"/>
      <w:r>
        <w:rPr>
          <w:rFonts w:hAnsi="黑体"/>
          <w:szCs w:val="21"/>
        </w:rPr>
        <w:t>规范性引用文件</w:t>
      </w:r>
      <w:bookmarkEnd w:id="7"/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GB 5491  粮食、油料检验 扦样、分样法</w:t>
      </w:r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GB/T 6682-2008  分析实验室用水规格和试验方法</w:t>
      </w:r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GB/T 27404-2008  </w:t>
      </w:r>
      <w:r>
        <w:rPr>
          <w:rFonts w:hint="eastAsia" w:ascii="Times New Roman" w:hAnsi="Times New Roman"/>
          <w:szCs w:val="21"/>
        </w:rPr>
        <w:t>实验室</w:t>
      </w:r>
      <w:r>
        <w:rPr>
          <w:rFonts w:ascii="Times New Roman" w:hAnsi="Times New Roman"/>
          <w:szCs w:val="21"/>
        </w:rPr>
        <w:t>质量控制规范</w:t>
      </w:r>
      <w:r>
        <w:rPr>
          <w:rFonts w:hint="eastAsia" w:ascii="Times New Roman" w:hAnsi="Times New Roman"/>
          <w:szCs w:val="21"/>
        </w:rPr>
        <w:t xml:space="preserve"> 食品</w:t>
      </w:r>
      <w:r>
        <w:rPr>
          <w:rFonts w:ascii="Times New Roman" w:hAnsi="Times New Roman"/>
          <w:szCs w:val="21"/>
        </w:rPr>
        <w:t>理化检测</w:t>
      </w:r>
    </w:p>
    <w:p>
      <w:pPr>
        <w:pStyle w:val="14"/>
        <w:ind w:firstLine="420"/>
        <w:rPr>
          <w:rFonts w:hAnsi="黑体"/>
          <w:szCs w:val="21"/>
        </w:rPr>
      </w:pPr>
      <w:bookmarkStart w:id="8" w:name="_Toc1649847"/>
      <w:r>
        <w:rPr>
          <w:rFonts w:hAnsi="黑体"/>
          <w:szCs w:val="21"/>
        </w:rPr>
        <w:t>原理</w:t>
      </w:r>
      <w:bookmarkEnd w:id="8"/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采用超纯水提取红薯粉丝中的苋菜红着色剂，过滤后，与拉曼增强基底金溶胶混合进行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拉曼光谱</w:t>
      </w:r>
      <w:r>
        <w:rPr>
          <w:rFonts w:hint="eastAsia" w:ascii="Times New Roman" w:hAnsi="Times New Roman"/>
          <w:szCs w:val="21"/>
        </w:rPr>
        <w:t>测定。</w:t>
      </w:r>
    </w:p>
    <w:p>
      <w:pPr>
        <w:pStyle w:val="14"/>
        <w:spacing w:line="360" w:lineRule="auto"/>
        <w:ind w:firstLine="420"/>
        <w:rPr>
          <w:rFonts w:hAnsi="黑体"/>
          <w:szCs w:val="21"/>
        </w:rPr>
      </w:pPr>
      <w:bookmarkStart w:id="9" w:name="_Toc1649848"/>
      <w:r>
        <w:rPr>
          <w:rFonts w:hAnsi="黑体"/>
          <w:szCs w:val="21"/>
        </w:rPr>
        <w:t>试剂及材料</w:t>
      </w:r>
      <w:bookmarkEnd w:id="9"/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除另有说明外，所用试剂均为分析纯，实验室用水应符合GB/T 6682一级水要求。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试剂</w:t>
      </w:r>
    </w:p>
    <w:p>
      <w:pPr>
        <w:pStyle w:val="20"/>
        <w:numPr>
          <w:ilvl w:val="2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超纯水</w:t>
      </w:r>
    </w:p>
    <w:p>
      <w:pPr>
        <w:pStyle w:val="20"/>
        <w:numPr>
          <w:ilvl w:val="2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柠檬酸钠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溶液配制</w:t>
      </w:r>
    </w:p>
    <w:p>
      <w:pPr>
        <w:pStyle w:val="20"/>
        <w:spacing w:line="360" w:lineRule="auto"/>
        <w:ind w:firstLine="0" w:firstLineChars="0"/>
        <w:outlineLvl w:val="2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4.2.1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1 </w:t>
      </w:r>
      <w:r>
        <w:rPr>
          <w:rFonts w:hint="eastAsia" w:ascii="黑体" w:hAnsi="黑体" w:eastAsia="黑体"/>
          <w:szCs w:val="21"/>
        </w:rPr>
        <w:t>%柠檬酸钠溶液</w:t>
      </w:r>
      <w:r>
        <w:rPr>
          <w:rFonts w:ascii="黑体" w:hAnsi="黑体" w:eastAsia="黑体"/>
          <w:szCs w:val="21"/>
        </w:rPr>
        <w:t xml:space="preserve">                                 </w:t>
      </w:r>
    </w:p>
    <w:p>
      <w:pPr>
        <w:pStyle w:val="17"/>
        <w:ind w:firstLine="420" w:firstLineChars="200"/>
      </w:pPr>
      <w:r>
        <w:rPr>
          <w:rFonts w:ascii="Times New Roman"/>
          <w:szCs w:val="21"/>
        </w:rPr>
        <w:t>取</w:t>
      </w:r>
      <w:r>
        <w:rPr>
          <w:rFonts w:hint="eastAsia" w:ascii="Times New Roman"/>
          <w:szCs w:val="21"/>
        </w:rPr>
        <w:t xml:space="preserve">柠檬酸钠 </w:t>
      </w:r>
      <w:r>
        <w:rPr>
          <w:rFonts w:ascii="Times New Roman"/>
          <w:szCs w:val="21"/>
        </w:rPr>
        <w:t xml:space="preserve">1 </w:t>
      </w:r>
      <w:r>
        <w:rPr>
          <w:rFonts w:hint="eastAsia" w:ascii="Times New Roman"/>
          <w:szCs w:val="21"/>
        </w:rPr>
        <w:t>g</w:t>
      </w:r>
      <w:r>
        <w:rPr>
          <w:rFonts w:ascii="Times New Roman"/>
          <w:szCs w:val="21"/>
        </w:rPr>
        <w:t>，</w:t>
      </w:r>
      <w:r>
        <w:rPr>
          <w:rFonts w:hint="eastAsia" w:ascii="Times New Roman"/>
          <w:szCs w:val="21"/>
        </w:rPr>
        <w:t>溶于</w:t>
      </w:r>
      <w:r>
        <w:rPr>
          <w:rFonts w:ascii="Times New Roman"/>
          <w:szCs w:val="21"/>
        </w:rPr>
        <w:t>100 mL</w:t>
      </w:r>
      <w:r>
        <w:rPr>
          <w:rFonts w:hint="eastAsia" w:ascii="Times New Roman"/>
          <w:szCs w:val="21"/>
        </w:rPr>
        <w:t>超纯水中</w:t>
      </w:r>
      <w:r>
        <w:rPr>
          <w:rFonts w:ascii="Times New Roman"/>
          <w:szCs w:val="21"/>
        </w:rPr>
        <w:t>，混匀</w:t>
      </w:r>
      <w:r>
        <w:rPr>
          <w:rFonts w:hint="eastAsia" w:ascii="Times New Roman"/>
          <w:szCs w:val="21"/>
        </w:rPr>
        <w:t>。</w:t>
      </w:r>
    </w:p>
    <w:p>
      <w:pPr>
        <w:pStyle w:val="20"/>
        <w:numPr>
          <w:ilvl w:val="2"/>
          <w:numId w:val="2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金溶胶</w:t>
      </w:r>
    </w:p>
    <w:p>
      <w:pPr>
        <w:pStyle w:val="20"/>
        <w:spacing w:line="360" w:lineRule="auto"/>
        <w:ind w:firstLineChars="0"/>
        <w:outlineLvl w:val="2"/>
      </w:pPr>
      <w:r>
        <w:rPr>
          <w:rFonts w:hint="eastAsia"/>
        </w:rPr>
        <w:t>柠檬酸钠水热法还原氯金酸钾获得金纳米粒子，粒径为</w:t>
      </w:r>
      <w:r>
        <w:rPr>
          <w:rFonts w:ascii="Times New Roman" w:hAnsi="Times New Roman"/>
          <w:color w:val="000000"/>
        </w:rPr>
        <w:t>50 nm</w:t>
      </w:r>
      <w:r>
        <w:rPr>
          <w:rFonts w:hint="eastAsia"/>
          <w:color w:val="000000"/>
        </w:rPr>
        <w:t xml:space="preserve">。在圆底烧瓶中加入 </w:t>
      </w:r>
      <w:r>
        <w:rPr>
          <w:rFonts w:hint="eastAsia" w:ascii="Times New Roman" w:hAnsi="Times New Roman"/>
          <w:color w:val="000000"/>
        </w:rPr>
        <w:t>47 mL</w:t>
      </w:r>
      <w:r>
        <w:rPr>
          <w:rFonts w:hint="eastAsia"/>
          <w:color w:val="000000"/>
        </w:rPr>
        <w:t xml:space="preserve">超纯水与 </w:t>
      </w:r>
      <w:r>
        <w:rPr>
          <w:rFonts w:hint="eastAsia" w:ascii="Times New Roman" w:hAnsi="Times New Roman"/>
          <w:color w:val="000000"/>
        </w:rPr>
        <w:t>3 mg</w:t>
      </w:r>
      <w:r>
        <w:rPr>
          <w:rFonts w:hint="eastAsia"/>
          <w:color w:val="000000"/>
        </w:rPr>
        <w:t xml:space="preserve">氯金酸钾，充分混合；将圆底烧瓶放入 </w:t>
      </w:r>
      <w:r>
        <w:rPr>
          <w:rFonts w:hint="eastAsia" w:ascii="Times New Roman" w:hAnsi="Times New Roman"/>
          <w:color w:val="000000"/>
        </w:rPr>
        <w:t xml:space="preserve">120 </w:t>
      </w:r>
      <w:r>
        <w:rPr>
          <w:rFonts w:hint="eastAsia"/>
          <w:color w:val="000000"/>
        </w:rPr>
        <w:t xml:space="preserve">℃油浴锅内，同时用磁力搅拌器搅拌并保持温度恒定至溶液沸腾；加入 </w:t>
      </w:r>
      <w:r>
        <w:rPr>
          <w:rFonts w:hint="eastAsia" w:ascii="Times New Roman" w:hAnsi="Times New Roman"/>
          <w:color w:val="000000"/>
        </w:rPr>
        <w:t xml:space="preserve">2 mL </w:t>
      </w:r>
      <w:bookmarkStart w:id="10" w:name="_Hlk86172665"/>
      <w:r>
        <w:rPr>
          <w:rFonts w:hint="eastAsia" w:ascii="Times New Roman" w:hAnsi="Times New Roman"/>
          <w:color w:val="000000"/>
        </w:rPr>
        <w:t>1%</w:t>
      </w:r>
      <w:r>
        <w:rPr>
          <w:rFonts w:hint="eastAsia"/>
          <w:color w:val="000000"/>
        </w:rPr>
        <w:t>柠檬酸酸钠水溶液</w:t>
      </w:r>
      <w:bookmarkEnd w:id="10"/>
      <w:r>
        <w:rPr>
          <w:rFonts w:hint="eastAsia"/>
          <w:color w:val="000000"/>
        </w:rPr>
        <w:t xml:space="preserve">继续 </w:t>
      </w:r>
      <w:r>
        <w:rPr>
          <w:rFonts w:hint="eastAsia" w:ascii="Times New Roman" w:hAnsi="Times New Roman"/>
          <w:color w:val="000000"/>
        </w:rPr>
        <w:t xml:space="preserve">120 </w:t>
      </w:r>
      <w:r>
        <w:rPr>
          <w:rFonts w:hint="eastAsia"/>
          <w:color w:val="000000"/>
        </w:rPr>
        <w:t xml:space="preserve">℃恒温搅拌 </w:t>
      </w:r>
      <w:r>
        <w:rPr>
          <w:rFonts w:hint="eastAsia" w:ascii="Times New Roman" w:hAnsi="Times New Roman"/>
          <w:color w:val="000000"/>
        </w:rPr>
        <w:t>20 min</w:t>
      </w:r>
      <w:r>
        <w:rPr>
          <w:rFonts w:hint="eastAsia"/>
          <w:color w:val="000000"/>
        </w:rPr>
        <w:t>；冷却至常温</w:t>
      </w:r>
      <w:r>
        <w:rPr>
          <w:rFonts w:hint="eastAsia"/>
        </w:rPr>
        <w:t>，备用。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bookmarkStart w:id="11" w:name="_Hlk86173604"/>
      <w:r>
        <w:rPr>
          <w:rFonts w:hint="eastAsia" w:ascii="黑体" w:hAnsi="黑体" w:eastAsia="黑体"/>
          <w:szCs w:val="21"/>
        </w:rPr>
        <w:t>标准品</w:t>
      </w:r>
    </w:p>
    <w:bookmarkEnd w:id="11"/>
    <w:p>
      <w:pPr>
        <w:pStyle w:val="17"/>
        <w:ind w:firstLine="420" w:firstLineChars="200"/>
      </w:pPr>
      <w:r>
        <w:rPr>
          <w:rFonts w:hint="eastAsia"/>
        </w:rPr>
        <w:t>苋菜红标准品（</w:t>
      </w:r>
      <w:r>
        <w:rPr>
          <w:rFonts w:ascii="Times New Roman"/>
        </w:rPr>
        <w:t>Amaranth</w:t>
      </w:r>
      <w:r>
        <w:rPr>
          <w:rFonts w:hint="eastAsia"/>
        </w:rPr>
        <w:t>，分子式</w:t>
      </w:r>
      <w:r>
        <w:rPr>
          <w:rFonts w:ascii="Times New Roman"/>
        </w:rPr>
        <w:t>C</w:t>
      </w:r>
      <w:r>
        <w:rPr>
          <w:rFonts w:ascii="Times New Roman"/>
          <w:vertAlign w:val="subscript"/>
        </w:rPr>
        <w:t>20</w:t>
      </w:r>
      <w:r>
        <w:rPr>
          <w:rFonts w:ascii="Times New Roman"/>
        </w:rPr>
        <w:t>H</w:t>
      </w:r>
      <w:r>
        <w:rPr>
          <w:rFonts w:ascii="Times New Roman"/>
          <w:vertAlign w:val="subscript"/>
        </w:rPr>
        <w:t>11</w:t>
      </w:r>
      <w:r>
        <w:rPr>
          <w:rFonts w:ascii="Times New Roman"/>
        </w:rPr>
        <w:t>N</w:t>
      </w:r>
      <w:r>
        <w:rPr>
          <w:rFonts w:ascii="Times New Roman"/>
          <w:vertAlign w:val="subscript"/>
        </w:rPr>
        <w:t>2</w:t>
      </w:r>
      <w:r>
        <w:rPr>
          <w:rFonts w:ascii="Times New Roman"/>
        </w:rPr>
        <w:t>Na</w:t>
      </w:r>
      <w:r>
        <w:rPr>
          <w:rFonts w:ascii="Times New Roman"/>
          <w:vertAlign w:val="subscript"/>
        </w:rPr>
        <w:t>3</w:t>
      </w:r>
      <w:r>
        <w:rPr>
          <w:rFonts w:ascii="Times New Roman"/>
        </w:rPr>
        <w:t>O</w:t>
      </w:r>
      <w:r>
        <w:rPr>
          <w:rFonts w:ascii="Times New Roman"/>
          <w:vertAlign w:val="subscript"/>
        </w:rPr>
        <w:t>10</w:t>
      </w:r>
      <w:r>
        <w:rPr>
          <w:rFonts w:ascii="Times New Roman"/>
        </w:rPr>
        <w:t>S</w:t>
      </w:r>
      <w:r>
        <w:rPr>
          <w:rFonts w:ascii="Times New Roman"/>
          <w:vertAlign w:val="subscript"/>
        </w:rPr>
        <w:t>3</w:t>
      </w:r>
      <w:r>
        <w:rPr>
          <w:rFonts w:hint="eastAsia"/>
        </w:rPr>
        <w:t>，分子量</w:t>
      </w:r>
      <w:r>
        <w:rPr>
          <w:rFonts w:ascii="Times New Roman"/>
        </w:rPr>
        <w:t>604.48</w:t>
      </w:r>
      <w:r>
        <w:rPr>
          <w:rFonts w:hint="eastAsia"/>
        </w:rPr>
        <w:t>，</w:t>
      </w:r>
      <w:r>
        <w:rPr>
          <w:rFonts w:ascii="Times New Roman"/>
        </w:rPr>
        <w:t>CAS</w:t>
      </w:r>
      <w:r>
        <w:rPr>
          <w:rFonts w:hint="eastAsia"/>
        </w:rPr>
        <w:t>号</w:t>
      </w:r>
      <w:r>
        <w:rPr>
          <w:rFonts w:ascii="Times New Roman"/>
        </w:rPr>
        <w:t>915-67-3</w:t>
      </w:r>
      <w:r>
        <w:rPr>
          <w:rFonts w:hint="eastAsia"/>
        </w:rPr>
        <w:t>），纯度≥</w:t>
      </w:r>
      <w:r>
        <w:rPr>
          <w:rFonts w:ascii="Times New Roman"/>
        </w:rPr>
        <w:t>98%</w:t>
      </w:r>
      <w:r>
        <w:rPr>
          <w:rFonts w:hint="eastAsia"/>
        </w:rPr>
        <w:t>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标准溶液制备</w:t>
      </w:r>
    </w:p>
    <w:p>
      <w:pPr>
        <w:pStyle w:val="20"/>
        <w:spacing w:line="360" w:lineRule="auto"/>
        <w:ind w:firstLine="0"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4</w:t>
      </w:r>
      <w:r>
        <w:rPr>
          <w:rFonts w:ascii="黑体" w:hAnsi="黑体" w:eastAsia="黑体"/>
          <w:szCs w:val="21"/>
        </w:rPr>
        <w:t xml:space="preserve">.4.1 </w:t>
      </w:r>
      <w:r>
        <w:rPr>
          <w:rFonts w:hint="eastAsia" w:ascii="黑体" w:hAnsi="黑体" w:eastAsia="黑体"/>
          <w:szCs w:val="21"/>
        </w:rPr>
        <w:t>标准储备液</w:t>
      </w:r>
    </w:p>
    <w:p>
      <w:pPr>
        <w:spacing w:line="360" w:lineRule="auto"/>
        <w:ind w:firstLine="420"/>
        <w:rPr>
          <w:szCs w:val="21"/>
        </w:rPr>
      </w:pPr>
      <w:r>
        <w:rPr>
          <w:szCs w:val="21"/>
        </w:rPr>
        <w:t>准确称取</w:t>
      </w:r>
      <w:r>
        <w:rPr>
          <w:rFonts w:hint="eastAsia"/>
          <w:szCs w:val="21"/>
        </w:rPr>
        <w:t>适量苋菜红</w:t>
      </w:r>
      <w:r>
        <w:rPr>
          <w:szCs w:val="21"/>
        </w:rPr>
        <w:t>标准品</w:t>
      </w:r>
      <w:r>
        <w:rPr>
          <w:rFonts w:hint="eastAsia"/>
          <w:szCs w:val="21"/>
        </w:rPr>
        <w:t>，用水</w:t>
      </w:r>
      <w:r>
        <w:rPr>
          <w:szCs w:val="21"/>
        </w:rPr>
        <w:t>配成</w:t>
      </w:r>
      <w:r>
        <w:rPr>
          <w:rFonts w:hint="eastAsia"/>
          <w:szCs w:val="21"/>
        </w:rPr>
        <w:t>浓度为1.0</w:t>
      </w:r>
      <w:r>
        <w:rPr>
          <w:szCs w:val="21"/>
        </w:rPr>
        <w:t xml:space="preserve"> mg/mL</w:t>
      </w:r>
      <w:r>
        <w:rPr>
          <w:rFonts w:hint="eastAsia"/>
          <w:szCs w:val="21"/>
        </w:rPr>
        <w:t>的</w:t>
      </w:r>
      <w:r>
        <w:rPr>
          <w:szCs w:val="21"/>
        </w:rPr>
        <w:t>标准储备液，-20 ℃密封避光保存，有效期6个月。</w:t>
      </w:r>
    </w:p>
    <w:p>
      <w:pPr>
        <w:pStyle w:val="20"/>
        <w:spacing w:line="360" w:lineRule="auto"/>
        <w:ind w:firstLine="0" w:firstLineChars="0"/>
        <w:outlineLvl w:val="2"/>
        <w:rPr>
          <w:rFonts w:ascii="黑体" w:hAnsi="黑体" w:eastAsia="黑体"/>
          <w:kern w:val="44"/>
          <w:szCs w:val="21"/>
        </w:rPr>
      </w:pPr>
      <w:r>
        <w:rPr>
          <w:rFonts w:hint="eastAsia" w:ascii="黑体" w:hAnsi="黑体" w:eastAsia="黑体"/>
          <w:kern w:val="44"/>
          <w:szCs w:val="21"/>
        </w:rPr>
        <w:t>4.</w:t>
      </w:r>
      <w:r>
        <w:rPr>
          <w:rFonts w:ascii="黑体" w:hAnsi="黑体" w:eastAsia="黑体"/>
          <w:kern w:val="44"/>
          <w:szCs w:val="21"/>
        </w:rPr>
        <w:t>4.2 系列标准工作溶液</w:t>
      </w:r>
    </w:p>
    <w:p>
      <w:pPr>
        <w:spacing w:line="360" w:lineRule="auto"/>
        <w:ind w:firstLine="420"/>
        <w:rPr>
          <w:szCs w:val="21"/>
        </w:rPr>
      </w:pPr>
      <w:r>
        <w:rPr>
          <w:szCs w:val="21"/>
        </w:rPr>
        <w:t>准确移取</w:t>
      </w:r>
      <w:r>
        <w:rPr>
          <w:rFonts w:hint="eastAsia"/>
          <w:szCs w:val="21"/>
        </w:rPr>
        <w:t>苋菜红</w:t>
      </w:r>
      <w:r>
        <w:rPr>
          <w:szCs w:val="21"/>
        </w:rPr>
        <w:t>标准溶液10、50、100、250、500、1000 μL分别于10 mL容量瓶中，用标准曲线溶剂定容至刻度，此溶液</w:t>
      </w:r>
      <w:r>
        <w:rPr>
          <w:rFonts w:hint="eastAsia"/>
          <w:szCs w:val="21"/>
        </w:rPr>
        <w:t>置于</w:t>
      </w:r>
      <w:r>
        <w:rPr>
          <w:szCs w:val="21"/>
        </w:rPr>
        <w:t>4 ℃避光保存，有效期一周。</w:t>
      </w:r>
    </w:p>
    <w:p>
      <w:pPr>
        <w:pStyle w:val="14"/>
        <w:ind w:firstLine="420"/>
        <w:rPr>
          <w:rFonts w:hAnsi="黑体"/>
          <w:szCs w:val="21"/>
        </w:rPr>
      </w:pPr>
      <w:bookmarkStart w:id="12" w:name="_Toc1649852"/>
      <w:r>
        <w:rPr>
          <w:rFonts w:hAnsi="黑体"/>
          <w:szCs w:val="21"/>
        </w:rPr>
        <w:t>仪器及设备</w:t>
      </w:r>
      <w:bookmarkEnd w:id="12"/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除实验室常规仪器设备外，应注意下列仪器设备。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bookmarkStart w:id="13" w:name="_Toc1649853"/>
      <w:bookmarkStart w:id="14" w:name="_Toc898202"/>
      <w:r>
        <w:rPr>
          <w:rFonts w:ascii="黑体" w:hAnsi="黑体" w:eastAsia="黑体"/>
          <w:szCs w:val="21"/>
        </w:rPr>
        <w:t>天平</w:t>
      </w:r>
      <w:bookmarkEnd w:id="13"/>
      <w:bookmarkEnd w:id="14"/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感量0.1 mg和0.01 g。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bookmarkStart w:id="15" w:name="_Toc898203"/>
      <w:bookmarkStart w:id="16" w:name="_Toc1649854"/>
      <w:r>
        <w:rPr>
          <w:rFonts w:ascii="黑体" w:hAnsi="黑体" w:eastAsia="黑体"/>
          <w:szCs w:val="21"/>
        </w:rPr>
        <w:t>粉碎机</w:t>
      </w:r>
      <w:bookmarkEnd w:id="15"/>
      <w:bookmarkEnd w:id="16"/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电机转速≥1000 r/min</w:t>
      </w:r>
      <w:r>
        <w:rPr>
          <w:rFonts w:hint="eastAsia" w:ascii="Times New Roman" w:hAnsi="Times New Roman"/>
          <w:szCs w:val="21"/>
        </w:rPr>
        <w:t>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涡旋混合器</w:t>
      </w:r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转速≥100 r/min。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超声波清洗器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便携式拉曼光谱仪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油浴锅</w:t>
      </w:r>
    </w:p>
    <w:p>
      <w:pPr>
        <w:pStyle w:val="14"/>
        <w:ind w:firstLine="420"/>
        <w:rPr>
          <w:rFonts w:hAnsi="黑体"/>
          <w:szCs w:val="21"/>
        </w:rPr>
      </w:pPr>
      <w:bookmarkStart w:id="17" w:name="_Toc1649860"/>
      <w:r>
        <w:rPr>
          <w:rFonts w:hAnsi="黑体"/>
          <w:szCs w:val="21"/>
        </w:rPr>
        <w:t>样品制备</w:t>
      </w:r>
      <w:bookmarkEnd w:id="17"/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ascii="Times New Roman" w:hAnsi="Times New Roman"/>
          <w:szCs w:val="21"/>
        </w:rPr>
        <w:t xml:space="preserve"> </w:t>
      </w:r>
      <w:bookmarkStart w:id="18" w:name="_Toc1649861"/>
      <w:bookmarkStart w:id="19" w:name="_Toc898209"/>
      <w:r>
        <w:rPr>
          <w:rFonts w:ascii="黑体" w:hAnsi="黑体" w:eastAsia="黑体"/>
          <w:szCs w:val="21"/>
        </w:rPr>
        <w:t>扦样与分样</w:t>
      </w:r>
      <w:bookmarkEnd w:id="18"/>
      <w:bookmarkEnd w:id="19"/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按GB 5491执行。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ascii="Times New Roman" w:hAnsi="Times New Roman"/>
          <w:szCs w:val="21"/>
        </w:rPr>
        <w:t xml:space="preserve"> </w:t>
      </w:r>
      <w:bookmarkStart w:id="20" w:name="_Toc898210"/>
      <w:bookmarkStart w:id="21" w:name="_Toc1649862"/>
      <w:r>
        <w:rPr>
          <w:rFonts w:ascii="黑体" w:hAnsi="黑体" w:eastAsia="黑体"/>
          <w:szCs w:val="21"/>
        </w:rPr>
        <w:t>样品粉碎</w:t>
      </w:r>
      <w:bookmarkEnd w:id="20"/>
      <w:bookmarkEnd w:id="21"/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样品经粉碎机粉碎，混匀，待测。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 xml:space="preserve"> </w:t>
      </w:r>
      <w:bookmarkStart w:id="22" w:name="_Toc1649863"/>
      <w:bookmarkStart w:id="23" w:name="_Toc898211"/>
      <w:r>
        <w:rPr>
          <w:rFonts w:ascii="黑体" w:hAnsi="黑体" w:eastAsia="黑体"/>
          <w:szCs w:val="21"/>
        </w:rPr>
        <w:t>待测溶液制备</w:t>
      </w:r>
      <w:bookmarkEnd w:id="22"/>
      <w:bookmarkEnd w:id="23"/>
    </w:p>
    <w:p>
      <w:pPr>
        <w:pStyle w:val="2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分别准确称取两份5 g样品，置于15 mL具塞离心管中，其中一份加入3 mL苋菜红标准工作溶液，再加入7 mL超纯水，震荡，摇匀，超声提取30 min。取上清液定容至10 mL，以12000 r/min，-4℃，离心10 min，重复两次，然后用0.45</w:t>
      </w:r>
      <w:r>
        <w:rPr>
          <w:rFonts w:ascii="Times New Roman" w:hAnsi="Times New Roman"/>
          <w:color w:val="000000"/>
          <w:szCs w:val="21"/>
        </w:rPr>
        <w:t xml:space="preserve"> μm</w:t>
      </w:r>
      <w:r>
        <w:rPr>
          <w:rFonts w:hint="eastAsia" w:ascii="Times New Roman" w:hAnsi="Times New Roman"/>
          <w:szCs w:val="21"/>
        </w:rPr>
        <w:t>滤膜过滤。另一份样品不加色素溶液，直接加入10 mL超纯水，随后重复上述步骤，提取液作为空白参照。</w:t>
      </w:r>
    </w:p>
    <w:p>
      <w:pPr>
        <w:pStyle w:val="14"/>
        <w:ind w:firstLine="420"/>
        <w:rPr>
          <w:rFonts w:hAnsi="黑体"/>
          <w:szCs w:val="21"/>
        </w:rPr>
      </w:pPr>
      <w:bookmarkStart w:id="24" w:name="_Toc1649864"/>
      <w:r>
        <w:rPr>
          <w:rFonts w:hAnsi="黑体"/>
          <w:szCs w:val="21"/>
        </w:rPr>
        <w:t>样品测定</w:t>
      </w:r>
      <w:bookmarkEnd w:id="24"/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拉曼检测</w:t>
      </w:r>
      <w:r>
        <w:rPr>
          <w:rFonts w:ascii="黑体" w:hAnsi="黑体" w:eastAsia="黑体"/>
          <w:szCs w:val="21"/>
        </w:rPr>
        <w:t>参考条件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光谱仪激光功率：250 mW。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检测程序参数：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激发波长：785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nm； 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积分时间：3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s；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积分次数：1次；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金溶胶：样品量=20</w:t>
      </w:r>
      <w:r>
        <w:rPr>
          <w:color w:val="000000"/>
          <w:szCs w:val="21"/>
        </w:rPr>
        <w:t xml:space="preserve"> μL：10 μL。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outlineLvl w:val="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定性测定</w:t>
      </w:r>
    </w:p>
    <w:p>
      <w:pPr>
        <w:pStyle w:val="11"/>
        <w:spacing w:line="400" w:lineRule="atLeast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25" w:name="_Hlk42248200"/>
      <w:r>
        <w:rPr>
          <w:rFonts w:hint="eastAsia" w:ascii="Times New Roman"/>
        </w:rPr>
        <w:t xml:space="preserve">依次滴加 </w:t>
      </w:r>
      <w:r>
        <w:rPr>
          <w:rFonts w:ascii="Times New Roman"/>
        </w:rPr>
        <w:t>20 μL</w:t>
      </w:r>
      <w:r>
        <w:rPr>
          <w:rFonts w:hint="eastAsia" w:ascii="Times New Roman"/>
        </w:rPr>
        <w:t>金纳米粒子、</w:t>
      </w:r>
      <w:r>
        <w:rPr>
          <w:rFonts w:ascii="Times New Roman"/>
        </w:rPr>
        <w:t>10 μL</w:t>
      </w:r>
      <w:r>
        <w:rPr>
          <w:rFonts w:hint="eastAsia" w:ascii="Times New Roman"/>
        </w:rPr>
        <w:t>待测溶液到锡箔纸上，混匀后开始检测，根据图谱</w:t>
      </w:r>
      <w:r>
        <w:rPr>
          <w:rFonts w:ascii="Times New Roman"/>
          <w:szCs w:val="21"/>
        </w:rPr>
        <w:t>989 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±3 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）</w:t>
      </w:r>
      <w:r>
        <w:rPr>
          <w:rFonts w:ascii="Times New Roman"/>
          <w:szCs w:val="21"/>
        </w:rPr>
        <w:t>、1357cm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±3 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）</w:t>
      </w:r>
      <w:r>
        <w:rPr>
          <w:rFonts w:ascii="Times New Roman"/>
          <w:szCs w:val="21"/>
        </w:rPr>
        <w:t>、1439cm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±3 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）</w:t>
      </w:r>
      <w:r>
        <w:rPr>
          <w:rFonts w:ascii="Times New Roman"/>
          <w:szCs w:val="21"/>
        </w:rPr>
        <w:t>、</w:t>
      </w: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1554 cm</w:t>
      </w:r>
      <w:r>
        <w:rPr>
          <w:rFonts w:asci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±3 cm</w:t>
      </w:r>
      <w:r>
        <w:rPr>
          <w:rFonts w:asci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）处特征拉曼光谱，对红薯粉丝中是否存在苋菜红进行鉴定分析。如同时存在上述特征峰，可判定样品中含有苋菜红；否则，不能证明样品中含有苋菜红，需要进一步实验验证。</w:t>
      </w:r>
    </w:p>
    <w:bookmarkEnd w:id="25"/>
    <w:p>
      <w:pPr>
        <w:pStyle w:val="14"/>
        <w:ind w:firstLine="420"/>
        <w:rPr>
          <w:rFonts w:hAnsi="黑体"/>
          <w:szCs w:val="21"/>
        </w:rPr>
      </w:pPr>
      <w:r>
        <w:rPr>
          <w:rFonts w:hint="eastAsia" w:hAnsi="黑体"/>
          <w:szCs w:val="21"/>
        </w:rPr>
        <w:t>分析结果的表述</w:t>
      </w:r>
    </w:p>
    <w:p>
      <w:pPr>
        <w:pStyle w:val="11"/>
        <w:spacing w:line="400" w:lineRule="atLeast"/>
        <w:rPr>
          <w:rFonts w:ascii="Times New Roman"/>
        </w:rPr>
        <w:sectPr>
          <w:pgSz w:w="11906" w:h="16838"/>
          <w:pgMar w:top="567" w:right="1134" w:bottom="1134" w:left="1418" w:header="1418" w:footer="1134" w:gutter="0"/>
          <w:pgNumType w:start="1"/>
          <w:cols w:space="720" w:num="1"/>
          <w:formProt w:val="0"/>
          <w:docGrid w:type="lines" w:linePitch="312" w:charSpace="0"/>
        </w:sectPr>
      </w:pPr>
      <w:r>
        <w:rPr>
          <w:rFonts w:hint="eastAsia" w:ascii="Times New Roman"/>
          <w:szCs w:val="21"/>
        </w:rPr>
        <w:t>如果在</w:t>
      </w:r>
      <w:r>
        <w:rPr>
          <w:rFonts w:ascii="Times New Roman"/>
          <w:szCs w:val="21"/>
        </w:rPr>
        <w:t>989 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±3 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）</w:t>
      </w:r>
      <w:r>
        <w:rPr>
          <w:rFonts w:ascii="Times New Roman"/>
          <w:szCs w:val="21"/>
        </w:rPr>
        <w:t>、1357cm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±3 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）</w:t>
      </w:r>
      <w:r>
        <w:rPr>
          <w:rFonts w:ascii="Times New Roman"/>
          <w:szCs w:val="21"/>
        </w:rPr>
        <w:t>、1439cm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±3 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）</w:t>
      </w:r>
      <w:r>
        <w:rPr>
          <w:rFonts w:ascii="Times New Roman"/>
          <w:szCs w:val="21"/>
        </w:rPr>
        <w:t>、1554 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±3 cm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）处附近同时出现特征拉曼峰，则认为样品中含有过量苋菜红，否则认为样品中苋菜红含量低于检测限</w:t>
      </w:r>
      <w:r>
        <w:rPr>
          <w:rFonts w:ascii="Times New Roman"/>
          <w:szCs w:val="21"/>
        </w:rPr>
        <w:t xml:space="preserve">60 </w:t>
      </w:r>
      <w:r>
        <w:rPr>
          <w:rFonts w:hint="eastAsia" w:ascii="Times New Roman"/>
          <w:szCs w:val="21"/>
        </w:rPr>
        <w:t>mg</w:t>
      </w:r>
      <w:r>
        <w:rPr>
          <w:rFonts w:ascii="Times New Roman"/>
          <w:szCs w:val="21"/>
        </w:rPr>
        <w:t>/kg</w:t>
      </w:r>
      <w:r>
        <w:rPr>
          <w:rFonts w:hint="eastAsia" w:ascii="Times New Roman"/>
          <w:szCs w:val="21"/>
        </w:rPr>
        <w:t>。</w:t>
      </w:r>
    </w:p>
    <w:p>
      <w:pPr>
        <w:spacing w:before="312" w:beforeLines="100" w:after="312" w:afterLines="100" w:line="400" w:lineRule="exact"/>
        <w:ind w:firstLine="600"/>
        <w:jc w:val="center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附录 </w:t>
      </w:r>
      <w:r>
        <w:rPr>
          <w:rFonts w:eastAsia="黑体"/>
          <w:sz w:val="30"/>
          <w:szCs w:val="30"/>
        </w:rPr>
        <w:t>A</w:t>
      </w:r>
    </w:p>
    <w:p>
      <w:pPr>
        <w:ind w:firstLine="420"/>
        <w:rPr>
          <w:rFonts w:eastAsia="黑体"/>
          <w:szCs w:val="21"/>
        </w:rPr>
      </w:pPr>
      <w:bookmarkStart w:id="26" w:name="_Hlk85799376"/>
      <w:r>
        <w:rPr>
          <w:rFonts w:eastAsia="黑体"/>
          <w:szCs w:val="21"/>
        </w:rPr>
        <w:t>图A.</w:t>
      </w:r>
      <w:r>
        <w:rPr>
          <w:rFonts w:eastAsia="黑体"/>
          <w:szCs w:val="21"/>
        </w:rPr>
        <w:fldChar w:fldCharType="begin"/>
      </w:r>
      <w:r>
        <w:rPr>
          <w:rFonts w:eastAsia="黑体"/>
          <w:szCs w:val="21"/>
        </w:rPr>
        <w:instrText xml:space="preserve"> SEQ 图A. \* ARABIC </w:instrText>
      </w:r>
      <w:r>
        <w:rPr>
          <w:rFonts w:eastAsia="黑体"/>
          <w:szCs w:val="21"/>
        </w:rPr>
        <w:fldChar w:fldCharType="separate"/>
      </w:r>
      <w:r>
        <w:rPr>
          <w:rFonts w:eastAsia="黑体"/>
          <w:szCs w:val="21"/>
        </w:rPr>
        <w:t>1</w:t>
      </w:r>
      <w:r>
        <w:rPr>
          <w:rFonts w:eastAsia="黑体"/>
          <w:szCs w:val="21"/>
        </w:rPr>
        <w:fldChar w:fldCharType="end"/>
      </w:r>
      <w:r>
        <w:rPr>
          <w:rFonts w:eastAsia="黑体"/>
          <w:szCs w:val="21"/>
        </w:rPr>
        <w:t xml:space="preserve"> </w:t>
      </w:r>
      <w:bookmarkEnd w:id="26"/>
      <w:bookmarkStart w:id="27" w:name="_Hlk85799442"/>
      <w:r>
        <w:rPr>
          <w:rFonts w:hint="eastAsia" w:eastAsia="黑体"/>
          <w:szCs w:val="21"/>
        </w:rPr>
        <w:t>苋菜红表面增强拉曼与固体拉曼对照图</w:t>
      </w:r>
    </w:p>
    <w:bookmarkEnd w:id="27"/>
    <w:p>
      <w:pPr>
        <w:widowControl/>
        <w:tabs>
          <w:tab w:val="left" w:pos="3780"/>
        </w:tabs>
        <w:ind w:firstLine="420"/>
        <w:rPr>
          <w:rFonts w:eastAsia="黑体"/>
          <w:szCs w:val="21"/>
        </w:rPr>
      </w:pPr>
      <w:r>
        <w:rPr>
          <w:rFonts w:eastAsia="黑体"/>
          <w:szCs w:val="21"/>
        </w:rPr>
        <w:t xml:space="preserve">图A.2  </w:t>
      </w:r>
      <w:r>
        <w:rPr>
          <w:rFonts w:hint="eastAsia" w:eastAsia="黑体"/>
          <w:szCs w:val="21"/>
        </w:rPr>
        <w:t>红薯粉丝中苋菜红检出对比图</w:t>
      </w:r>
    </w:p>
    <w:p>
      <w:pPr>
        <w:ind w:firstLine="480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0" distR="0">
            <wp:extent cx="4297680" cy="301752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3780"/>
        </w:tabs>
        <w:ind w:firstLine="420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 xml:space="preserve">图A.1  </w:t>
      </w:r>
      <w:r>
        <w:rPr>
          <w:rFonts w:hint="eastAsia" w:eastAsia="黑体"/>
          <w:szCs w:val="21"/>
        </w:rPr>
        <w:t>苋菜红的拉曼光谱图（a为苋菜红固体拉曼图谱、b为1</w:t>
      </w:r>
      <w:r>
        <w:rPr>
          <w:rFonts w:eastAsia="黑体"/>
          <w:szCs w:val="21"/>
        </w:rPr>
        <w:t xml:space="preserve">00 </w:t>
      </w:r>
      <w:r>
        <w:rPr>
          <w:rFonts w:hint="eastAsia" w:eastAsia="黑体"/>
          <w:szCs w:val="21"/>
        </w:rPr>
        <w:t>mg</w:t>
      </w:r>
      <w:r>
        <w:rPr>
          <w:rFonts w:eastAsia="黑体"/>
          <w:szCs w:val="21"/>
        </w:rPr>
        <w:t xml:space="preserve">/L </w:t>
      </w:r>
      <w:r>
        <w:rPr>
          <w:rFonts w:hint="eastAsia" w:eastAsia="黑体"/>
          <w:szCs w:val="21"/>
        </w:rPr>
        <w:t>苋菜红水溶液的S</w:t>
      </w:r>
      <w:r>
        <w:rPr>
          <w:rFonts w:eastAsia="黑体"/>
          <w:szCs w:val="21"/>
        </w:rPr>
        <w:t>ERS</w:t>
      </w:r>
      <w:r>
        <w:rPr>
          <w:rFonts w:hint="eastAsia" w:eastAsia="黑体"/>
          <w:szCs w:val="21"/>
        </w:rPr>
        <w:t>图谱）</w:t>
      </w:r>
    </w:p>
    <w:p>
      <w:pPr>
        <w:autoSpaceDE w:val="0"/>
        <w:autoSpaceDN w:val="0"/>
        <w:adjustRightInd w:val="0"/>
        <w:ind w:firstLine="420"/>
        <w:jc w:val="center"/>
        <w:rPr>
          <w:rFonts w:ascii="等线" w:hAnsi="等线" w:eastAsia="等线"/>
          <w:szCs w:val="22"/>
        </w:rPr>
      </w:pPr>
      <w:r>
        <w:rPr>
          <w:rFonts w:ascii="等线" w:hAnsi="等线" w:eastAsia="等线"/>
          <w:szCs w:val="22"/>
        </w:rPr>
        <w:drawing>
          <wp:inline distT="0" distB="0" distL="0" distR="0">
            <wp:extent cx="4353560" cy="305562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9" cy="30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3780"/>
        </w:tabs>
        <w:ind w:firstLine="420"/>
        <w:jc w:val="center"/>
        <w:rPr>
          <w:rFonts w:eastAsia="黑体"/>
          <w:color w:val="FF0000"/>
          <w:szCs w:val="21"/>
        </w:rPr>
      </w:pPr>
      <w:r>
        <w:rPr>
          <w:rFonts w:eastAsia="黑体"/>
          <w:szCs w:val="21"/>
        </w:rPr>
        <w:t xml:space="preserve">图A.2  </w:t>
      </w:r>
      <w:r>
        <w:rPr>
          <w:rFonts w:hint="eastAsia" w:eastAsia="黑体"/>
          <w:szCs w:val="21"/>
        </w:rPr>
        <w:t>红薯粉丝中苋菜红检出对比图</w:t>
      </w:r>
      <w:r>
        <w:rPr>
          <w:rFonts w:hint="eastAsia" w:eastAsia="黑体"/>
          <w:color w:val="000000"/>
          <w:szCs w:val="21"/>
        </w:rPr>
        <w:t>（</w:t>
      </w:r>
      <w:r>
        <w:rPr>
          <w:rFonts w:eastAsia="黑体"/>
          <w:szCs w:val="21"/>
        </w:rPr>
        <w:t xml:space="preserve">从 a 到 </w:t>
      </w:r>
      <w:r>
        <w:rPr>
          <w:rFonts w:hint="eastAsia" w:eastAsia="黑体"/>
          <w:szCs w:val="21"/>
        </w:rPr>
        <w:t>f</w:t>
      </w:r>
      <w:r>
        <w:rPr>
          <w:rFonts w:eastAsia="黑体"/>
          <w:szCs w:val="21"/>
        </w:rPr>
        <w:t xml:space="preserve"> 分别</w:t>
      </w:r>
      <w:r>
        <w:rPr>
          <w:rFonts w:hint="eastAsia" w:eastAsia="黑体"/>
          <w:szCs w:val="21"/>
        </w:rPr>
        <w:t>为固体、水溶液、空白样本</w:t>
      </w:r>
      <w:r>
        <w:rPr>
          <w:rFonts w:eastAsia="黑体"/>
          <w:szCs w:val="21"/>
        </w:rPr>
        <w:t xml:space="preserve">，60 </w:t>
      </w:r>
      <w:bookmarkStart w:id="28" w:name="_Hlk88497255"/>
      <w:r>
        <w:rPr>
          <w:rFonts w:hint="eastAsia" w:eastAsia="黑体"/>
          <w:szCs w:val="21"/>
        </w:rPr>
        <w:t>mg</w:t>
      </w:r>
      <w:r>
        <w:rPr>
          <w:rFonts w:eastAsia="黑体"/>
          <w:szCs w:val="21"/>
        </w:rPr>
        <w:t>/kg</w:t>
      </w:r>
      <w:bookmarkEnd w:id="28"/>
      <w:r>
        <w:rPr>
          <w:rFonts w:hint="eastAsia" w:eastAsia="黑体"/>
          <w:szCs w:val="21"/>
        </w:rPr>
        <w:t>、</w:t>
      </w:r>
      <w:r>
        <w:rPr>
          <w:rFonts w:eastAsia="黑体"/>
          <w:szCs w:val="21"/>
        </w:rPr>
        <w:t>120</w:t>
      </w:r>
      <w:r>
        <w:rPr>
          <w:rFonts w:hint="eastAsia" w:eastAsia="黑体"/>
          <w:szCs w:val="21"/>
        </w:rPr>
        <w:t xml:space="preserve"> mg</w:t>
      </w:r>
      <w:r>
        <w:rPr>
          <w:rFonts w:eastAsia="黑体"/>
          <w:szCs w:val="21"/>
        </w:rPr>
        <w:t>/kg</w:t>
      </w:r>
      <w:r>
        <w:rPr>
          <w:rFonts w:hint="eastAsia" w:eastAsia="黑体"/>
          <w:szCs w:val="21"/>
        </w:rPr>
        <w:t>、</w:t>
      </w:r>
      <w:r>
        <w:rPr>
          <w:rFonts w:eastAsia="黑体"/>
          <w:szCs w:val="21"/>
        </w:rPr>
        <w:t>300</w:t>
      </w:r>
      <w:r>
        <w:rPr>
          <w:rFonts w:hint="eastAsia" w:eastAsia="黑体"/>
          <w:szCs w:val="21"/>
        </w:rPr>
        <w:t xml:space="preserve"> mg</w:t>
      </w:r>
      <w:r>
        <w:rPr>
          <w:rFonts w:eastAsia="黑体"/>
          <w:szCs w:val="21"/>
        </w:rPr>
        <w:t>/kg</w:t>
      </w:r>
      <w:r>
        <w:rPr>
          <w:rFonts w:hint="eastAsia" w:eastAsia="黑体"/>
          <w:szCs w:val="21"/>
        </w:rPr>
        <w:t>添加水平S</w:t>
      </w:r>
      <w:r>
        <w:rPr>
          <w:rFonts w:eastAsia="黑体"/>
          <w:szCs w:val="21"/>
        </w:rPr>
        <w:t>ERS</w:t>
      </w:r>
      <w:r>
        <w:rPr>
          <w:rFonts w:hint="eastAsia" w:eastAsia="黑体"/>
          <w:szCs w:val="21"/>
        </w:rPr>
        <w:t>光谱图）</w:t>
      </w:r>
    </w:p>
    <w:p>
      <w:pPr>
        <w:widowControl/>
        <w:ind w:firstLine="0" w:firstLineChars="0"/>
        <w:jc w:val="left"/>
        <w:rPr>
          <w:rFonts w:eastAsia="黑体"/>
          <w:sz w:val="28"/>
          <w:szCs w:val="28"/>
        </w:rPr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rFonts w:ascii="Times New Roman"/>
      </w:rPr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 \* MERGEFORMAT </w:instrText>
    </w:r>
    <w:r>
      <w:rPr>
        <w:rFonts w:ascii="Times New Roman"/>
      </w:rPr>
      <w:fldChar w:fldCharType="separate"/>
    </w:r>
    <w:r>
      <w:rPr>
        <w:rFonts w:ascii="Times New Roman"/>
      </w:rPr>
      <w:t>I</w:t>
    </w:r>
    <w:r>
      <w:rPr>
        <w:rFonts w:asci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8062514"/>
      <w:docPartObj>
        <w:docPartGallery w:val="AutoText"/>
      </w:docPartObj>
    </w:sdtPr>
    <w:sdtContent>
      <w:p>
        <w:pPr>
          <w:pStyle w:val="2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EF"/>
    <w:rsid w:val="000240BC"/>
    <w:rsid w:val="000537F6"/>
    <w:rsid w:val="00092827"/>
    <w:rsid w:val="000A7871"/>
    <w:rsid w:val="000F73B1"/>
    <w:rsid w:val="00127544"/>
    <w:rsid w:val="00177047"/>
    <w:rsid w:val="001B629E"/>
    <w:rsid w:val="001C6AD8"/>
    <w:rsid w:val="001E0A9E"/>
    <w:rsid w:val="001F1FB5"/>
    <w:rsid w:val="00233B09"/>
    <w:rsid w:val="002441D7"/>
    <w:rsid w:val="00256906"/>
    <w:rsid w:val="002B5CEF"/>
    <w:rsid w:val="003402DA"/>
    <w:rsid w:val="003504C8"/>
    <w:rsid w:val="003B3826"/>
    <w:rsid w:val="003D4529"/>
    <w:rsid w:val="003F2216"/>
    <w:rsid w:val="00475E4D"/>
    <w:rsid w:val="004B1B49"/>
    <w:rsid w:val="004C3261"/>
    <w:rsid w:val="004E3ACF"/>
    <w:rsid w:val="00573965"/>
    <w:rsid w:val="005E5A8C"/>
    <w:rsid w:val="005E74B2"/>
    <w:rsid w:val="005F18F4"/>
    <w:rsid w:val="00683245"/>
    <w:rsid w:val="006E6621"/>
    <w:rsid w:val="00760082"/>
    <w:rsid w:val="007716E3"/>
    <w:rsid w:val="007A3C0E"/>
    <w:rsid w:val="007A3E8C"/>
    <w:rsid w:val="007D0BEA"/>
    <w:rsid w:val="007D1BED"/>
    <w:rsid w:val="007D33CF"/>
    <w:rsid w:val="007F5099"/>
    <w:rsid w:val="00815861"/>
    <w:rsid w:val="00886215"/>
    <w:rsid w:val="008B497A"/>
    <w:rsid w:val="008C46B6"/>
    <w:rsid w:val="008C6740"/>
    <w:rsid w:val="00990753"/>
    <w:rsid w:val="00990781"/>
    <w:rsid w:val="00A03270"/>
    <w:rsid w:val="00A449BD"/>
    <w:rsid w:val="00B705DB"/>
    <w:rsid w:val="00B73B4F"/>
    <w:rsid w:val="00C17AB6"/>
    <w:rsid w:val="00C64ADD"/>
    <w:rsid w:val="00CB3109"/>
    <w:rsid w:val="00CD72C4"/>
    <w:rsid w:val="00D37CB1"/>
    <w:rsid w:val="00D47EB0"/>
    <w:rsid w:val="00D55843"/>
    <w:rsid w:val="00D82B4C"/>
    <w:rsid w:val="00D90160"/>
    <w:rsid w:val="00EA35D5"/>
    <w:rsid w:val="00EA42E5"/>
    <w:rsid w:val="00EA6EAD"/>
    <w:rsid w:val="00EB44DC"/>
    <w:rsid w:val="00ED23B2"/>
    <w:rsid w:val="00EE63A9"/>
    <w:rsid w:val="00F61630"/>
    <w:rsid w:val="00F73EE0"/>
    <w:rsid w:val="00F82B9C"/>
    <w:rsid w:val="00FB1F72"/>
    <w:rsid w:val="00FB7058"/>
    <w:rsid w:val="00FC4860"/>
    <w:rsid w:val="563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21"/>
    <w:qFormat/>
    <w:uiPriority w:val="0"/>
    <w:pPr>
      <w:spacing w:before="240" w:after="60"/>
      <w:ind w:firstLine="0" w:firstLineChars="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customStyle="1" w:styleId="7">
    <w:name w:val="文献分类号"/>
    <w:qFormat/>
    <w:uiPriority w:val="0"/>
    <w:pPr>
      <w:framePr w:hSpace="180" w:vSpace="180" w:wrap="around" w:vAnchor="margin" w:hAnchor="margin" w:y="1" w:anchorLock="1"/>
      <w:widowControl w:val="0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段 Char"/>
    <w:link w:val="11"/>
    <w:qFormat/>
    <w:uiPriority w:val="0"/>
    <w:rPr>
      <w:rFonts w:ascii="宋体"/>
    </w:rPr>
  </w:style>
  <w:style w:type="paragraph" w:customStyle="1" w:styleId="11">
    <w:name w:val="段"/>
    <w:link w:val="1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列项——（一级）"/>
    <w:qFormat/>
    <w:uiPriority w:val="99"/>
    <w:pPr>
      <w:widowControl w:val="0"/>
      <w:tabs>
        <w:tab w:val="left" w:pos="360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4">
    <w:name w:val="章标题"/>
    <w:next w:val="11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5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6">
    <w:name w:val="前言、引言标题"/>
    <w:next w:val="1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17">
    <w:name w:val="正文公式编号制表符"/>
    <w:basedOn w:val="11"/>
    <w:next w:val="11"/>
    <w:qFormat/>
    <w:uiPriority w:val="0"/>
    <w:pPr>
      <w:ind w:firstLine="0" w:firstLineChars="0"/>
    </w:pPr>
    <w:rPr>
      <w:rFonts w:hAnsi="Times New Roman" w:eastAsia="宋体" w:cs="Times New Roman"/>
      <w:kern w:val="0"/>
      <w:szCs w:val="20"/>
    </w:rPr>
  </w:style>
  <w:style w:type="paragraph" w:customStyle="1" w:styleId="1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  <w:ind w:firstLine="0" w:firstLineChars="0"/>
    </w:pPr>
    <w:rPr>
      <w:kern w:val="0"/>
      <w:szCs w:val="21"/>
    </w:rPr>
  </w:style>
  <w:style w:type="paragraph" w:customStyle="1" w:styleId="20">
    <w:name w:val="列出段落1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21">
    <w:name w:val="标题 字符"/>
    <w:basedOn w:val="6"/>
    <w:link w:val="4"/>
    <w:uiPriority w:val="0"/>
    <w:rPr>
      <w:rFonts w:ascii="等线 Light" w:hAnsi="等线 Light" w:eastAsia="宋体" w:cs="Times New Roman"/>
      <w:b/>
      <w:bCs/>
      <w:sz w:val="32"/>
      <w:szCs w:val="3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microsoft.com/office/2006/relationships/keyMapCustomizations" Target="customizations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2.jpeg"/><Relationship Id="rId18" Type="http://schemas.openxmlformats.org/officeDocument/2006/relationships/image" Target="media/image1.jpeg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footer" Target="footer5.xml"/><Relationship Id="rId14" Type="http://schemas.openxmlformats.org/officeDocument/2006/relationships/footer" Target="footer4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339</Words>
  <Characters>1938</Characters>
  <Lines>16</Lines>
  <Paragraphs>4</Paragraphs>
  <TotalTime>25</TotalTime>
  <ScaleCrop>false</ScaleCrop>
  <LinksUpToDate>false</LinksUpToDate>
  <CharactersWithSpaces>2273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2021-11-22T10:43:00Z</dcterms:created>
  <dc:creator>wxf</dc:creator>
  <cp:lastModifiedBy>潇楠</cp:lastModifiedBy>
  <dcterms:modified xsi:type="dcterms:W3CDTF">2022-01-24T08:37:17Z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3E8558764CAE43E18DFAA407AB1E7DF5</vt:lpwstr>
  </property>
</Properties>
</file>