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djustRightInd w:val="0"/>
        <w:snapToGrid w:val="0"/>
        <w:rPr>
          <w:rFonts w:ascii="Times New Roman" w:hAnsi="Times New Roman" w:eastAsia="宋体" w:cs="Times New Roman"/>
          <w:sz w:val="32"/>
          <w:szCs w:val="32"/>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ind w:firstLine="1120" w:firstLineChars="200"/>
        <w:rPr>
          <w:rFonts w:hint="eastAsia" w:ascii="仿宋_GB2312" w:hAnsi="仿宋_GB2312" w:eastAsia="仿宋_GB2312" w:cs="仿宋_GB2312"/>
          <w:szCs w:val="21"/>
        </w:rPr>
      </w:pPr>
      <w:r>
        <w:rPr>
          <w:rFonts w:hint="eastAsia" w:ascii="仿宋_GB2312" w:hAnsi="仿宋_GB2312" w:eastAsia="仿宋_GB2312" w:cs="仿宋_GB2312"/>
          <w:snapToGrid w:val="0"/>
          <w:spacing w:val="20"/>
          <w:kern w:val="0"/>
          <w:sz w:val="52"/>
          <w:szCs w:val="52"/>
        </w:rPr>
        <w:t>中国粮油学会团体标准</w:t>
      </w: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rPr>
          <w:rFonts w:ascii="Times New Roman" w:hAnsi="Times New Roman" w:eastAsia="宋体" w:cs="Times New Roman"/>
          <w:szCs w:val="21"/>
        </w:rPr>
      </w:pPr>
    </w:p>
    <w:p>
      <w:pPr>
        <w:adjustRightInd w:val="0"/>
        <w:snapToGrid w:val="0"/>
        <w:jc w:val="center"/>
        <w:rPr>
          <w:rFonts w:hint="eastAsia" w:ascii="黑体" w:hAnsi="黑体" w:eastAsia="黑体"/>
          <w:b w:val="0"/>
          <w:bCs/>
          <w:sz w:val="52"/>
          <w:szCs w:val="52"/>
        </w:rPr>
      </w:pPr>
      <w:r>
        <w:rPr>
          <w:rFonts w:hint="eastAsia" w:ascii="黑体" w:hAnsi="黑体" w:eastAsia="黑体"/>
          <w:b w:val="0"/>
          <w:bCs/>
          <w:sz w:val="52"/>
          <w:szCs w:val="52"/>
        </w:rPr>
        <w:t>大豆油基煎炸油</w:t>
      </w:r>
    </w:p>
    <w:p>
      <w:pPr>
        <w:adjustRightInd w:val="0"/>
        <w:snapToGrid w:val="0"/>
        <w:spacing w:before="156" w:beforeLines="50"/>
        <w:jc w:val="center"/>
        <w:rPr>
          <w:rFonts w:hint="eastAsia" w:ascii="仿宋" w:hAnsi="仿宋" w:eastAsia="仿宋"/>
          <w:b/>
          <w:sz w:val="44"/>
          <w:szCs w:val="44"/>
        </w:rPr>
      </w:pPr>
      <w:r>
        <w:rPr>
          <w:rFonts w:hint="eastAsia" w:ascii="仿宋" w:hAnsi="仿宋" w:eastAsia="仿宋"/>
          <w:b/>
          <w:sz w:val="44"/>
          <w:szCs w:val="44"/>
        </w:rPr>
        <w:t>（征求意见稿）</w:t>
      </w:r>
      <w:bookmarkStart w:id="2" w:name="_GoBack"/>
      <w:bookmarkEnd w:id="2"/>
    </w:p>
    <w:p>
      <w:pPr>
        <w:adjustRightInd w:val="0"/>
        <w:snapToGrid w:val="0"/>
        <w:spacing w:before="156" w:beforeLines="50"/>
        <w:jc w:val="center"/>
        <w:rPr>
          <w:rFonts w:hint="eastAsia" w:ascii="仿宋" w:hAnsi="仿宋" w:eastAsia="仿宋"/>
          <w:b/>
          <w:sz w:val="44"/>
          <w:szCs w:val="44"/>
        </w:rPr>
      </w:pPr>
      <w:r>
        <w:rPr>
          <w:rFonts w:hint="eastAsia" w:ascii="仿宋" w:hAnsi="仿宋" w:eastAsia="仿宋"/>
          <w:b/>
          <w:sz w:val="44"/>
          <w:szCs w:val="44"/>
        </w:rPr>
        <w:t>编制说明</w:t>
      </w: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hint="eastAsia"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jc w:val="center"/>
        <w:rPr>
          <w:rFonts w:ascii="Times New Roman" w:hAnsi="Times New Roman" w:eastAsia="宋体" w:cs="Times New Roman"/>
          <w:b/>
          <w:sz w:val="36"/>
          <w:szCs w:val="36"/>
        </w:rPr>
      </w:pPr>
      <w:r>
        <w:rPr>
          <w:rFonts w:ascii="Times New Roman" w:hAnsi="Times New Roman" w:eastAsia="宋体" w:cs="Times New Roman"/>
          <w:b/>
          <w:sz w:val="36"/>
          <w:szCs w:val="36"/>
        </w:rPr>
        <w:t>标准起草组</w:t>
      </w:r>
    </w:p>
    <w:p>
      <w:pPr>
        <w:adjustRightInd w:val="0"/>
        <w:snapToGrid w:val="0"/>
        <w:spacing w:before="156" w:beforeLines="50"/>
        <w:jc w:val="center"/>
        <w:rPr>
          <w:rFonts w:ascii="Times New Roman" w:hAnsi="Times New Roman" w:eastAsia="宋体" w:cs="Times New Roman"/>
          <w:b/>
          <w:szCs w:val="21"/>
        </w:rPr>
      </w:pPr>
      <w:r>
        <w:rPr>
          <w:rFonts w:ascii="Times New Roman" w:hAnsi="Times New Roman" w:eastAsia="宋体" w:cs="Times New Roman"/>
          <w:b/>
          <w:sz w:val="36"/>
          <w:szCs w:val="36"/>
        </w:rPr>
        <w:t>2024年1月</w:t>
      </w: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rPr>
          <w:rFonts w:ascii="Times New Roman" w:hAnsi="Times New Roman" w:eastAsia="宋体" w:cs="Times New Roman"/>
          <w:b/>
          <w:szCs w:val="21"/>
        </w:rPr>
      </w:pPr>
    </w:p>
    <w:p>
      <w:pPr>
        <w:adjustRightInd w:val="0"/>
        <w:snapToGrid w:val="0"/>
        <w:jc w:val="left"/>
        <w:rPr>
          <w:rFonts w:ascii="Times New Roman" w:hAnsi="Times New Roman" w:eastAsia="宋体" w:cs="Times New Roman"/>
          <w:szCs w:val="21"/>
        </w:rPr>
      </w:pPr>
    </w:p>
    <w:p>
      <w:pPr>
        <w:widowControl/>
        <w:jc w:val="left"/>
        <w:rPr>
          <w:rFonts w:ascii="Times New Roman" w:hAnsi="Times New Roman" w:eastAsia="宋体" w:cs="Times New Roman"/>
          <w:sz w:val="24"/>
          <w:szCs w:val="24"/>
        </w:rPr>
      </w:pPr>
      <w:r>
        <w:rPr>
          <w:rFonts w:ascii="Times New Roman" w:hAnsi="Times New Roman" w:eastAsia="宋体" w:cs="Times New Roman"/>
          <w:sz w:val="24"/>
          <w:szCs w:val="24"/>
        </w:rPr>
        <w:br w:type="page"/>
      </w:r>
    </w:p>
    <w:p>
      <w:pPr>
        <w:adjustRightInd w:val="0"/>
        <w:snapToGrid w:val="0"/>
        <w:spacing w:line="360" w:lineRule="auto"/>
        <w:jc w:val="left"/>
        <w:rPr>
          <w:rFonts w:ascii="Times New Roman" w:hAnsi="Times New Roman" w:eastAsia="宋体" w:cs="Times New Roman"/>
          <w:sz w:val="24"/>
          <w:szCs w:val="24"/>
        </w:rPr>
      </w:pPr>
    </w:p>
    <w:p>
      <w:pPr>
        <w:adjustRightInd w:val="0"/>
        <w:snapToGrid w:val="0"/>
        <w:spacing w:after="156" w:afterLines="50" w:line="360" w:lineRule="auto"/>
        <w:jc w:val="center"/>
        <w:rPr>
          <w:rFonts w:ascii="Times New Roman" w:hAnsi="Times New Roman" w:eastAsia="宋体" w:cs="Times New Roman"/>
          <w:sz w:val="32"/>
          <w:szCs w:val="32"/>
        </w:rPr>
      </w:pPr>
      <w:r>
        <w:rPr>
          <w:rFonts w:ascii="Times New Roman" w:hAnsi="Times New Roman" w:eastAsia="宋体" w:cs="Times New Roman"/>
          <w:sz w:val="32"/>
          <w:szCs w:val="32"/>
        </w:rPr>
        <w:t>《大豆油基煎炸油》编制说明</w:t>
      </w:r>
    </w:p>
    <w:p>
      <w:pPr>
        <w:adjustRightInd w:val="0"/>
        <w:snapToGrid w:val="0"/>
        <w:spacing w:before="312" w:beforeLines="100"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1．工作简况</w:t>
      </w:r>
      <w:r>
        <w:rPr>
          <w:rFonts w:ascii="Times New Roman" w:hAnsi="Times New Roman" w:eastAsia="宋体" w:cs="Times New Roman"/>
          <w:sz w:val="24"/>
          <w:szCs w:val="24"/>
        </w:rPr>
        <w:t>（包括任务来源、协作单位、</w:t>
      </w:r>
      <w:bookmarkStart w:id="0" w:name="_Hlk111477324"/>
      <w:r>
        <w:rPr>
          <w:rFonts w:ascii="Times New Roman" w:hAnsi="Times New Roman" w:eastAsia="宋体" w:cs="Times New Roman"/>
          <w:sz w:val="24"/>
          <w:szCs w:val="24"/>
        </w:rPr>
        <w:t>主要工作过程</w:t>
      </w:r>
      <w:bookmarkEnd w:id="0"/>
      <w:r>
        <w:rPr>
          <w:rFonts w:ascii="Times New Roman" w:hAnsi="Times New Roman" w:eastAsia="宋体" w:cs="Times New Roman"/>
          <w:sz w:val="24"/>
          <w:szCs w:val="24"/>
        </w:rPr>
        <w:t>、标准主要起草人及其所做的工作等）</w:t>
      </w:r>
    </w:p>
    <w:p>
      <w:pPr>
        <w:adjustRightInd w:val="0"/>
        <w:snapToGrid w:val="0"/>
        <w:spacing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1.1 任务来源</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1.1.1 标准下达计划</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为贯彻落实国务院《深化标准化工作改革方案》的要求，推动粮油食品领域团体标准的发展和壮大，根据《中国粮油学会团体标准管理办法（试行）》相关规定和《中国粮油学会关于开展2022年度第一批团体标准征集工作的通知》，由中粮营养健康研究院有限公司牵头向中国粮油学会申报制订《大豆油基煎炸油》团体标准，经中国粮油学会评审同意立项。</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根据中国粮油学会（中粮油学发﹝2021﹞7号）《关于发布中国粮油学会第一批团体标准立项公告的通知》中的附件1（中国粮油学会第一批团体标准立项名单）的要求，本标准的编制工作由中粮营养健康研究院有限公司组织成立了《大豆油基煎炸油》团体标准起草小组，负责进行本标准的各项工作。</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1.1.2 标准计划项目调整（如有，请写明申请调整的具体内容、理由和依据等）</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无</w:t>
      </w:r>
      <w:r>
        <w:rPr>
          <w:rFonts w:ascii="Times New Roman" w:hAnsi="Times New Roman" w:eastAsia="宋体" w:cs="Times New Roman"/>
          <w:sz w:val="24"/>
          <w:szCs w:val="24"/>
        </w:rPr>
        <w:t>。</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1.1.3 标准制修订的背景、必要性和重要性</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煎炸用油市场容量约为45万吨，并以12%的年增长率持续上涨，其中以棕榈油为代表的固态煎炸油占据了大半市场。但我国棕榈油完全依赖进口，受国际局势影响明显，原料供应不确定性大，各大食品企业正迫切寻找替代产品。大豆油是我国产量最大的油种和食用油消费中的主力油种，加上其作为液态煎炸油具备良好的操作性能，必将逐步取代以棕榈油为代表的固态煎炸油，在中西式煎炸产业中扮演日趋重要的角色。</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随着经济发展水平的提高和对生活品质要求的升级，消费者对食用油的营养和健康日益关注，客户也对煎炸油产品的品质稳定性提出了明确需求，市面上专用于煎炸用途的大豆油产品较少，很多中小客户会选择普通大豆油作为煎炸用油，然而，普通大豆油作为煎炸油通常存在易发烟、营养素损失快、煎炸时间短等、理化指标易超过食品安全标准，同时煎炸的产品存在吸油率高、酥脆度差等问题，无法满足消费者对营养、健康、质优的需求。</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法国、意大利、奥地利及欧盟等十余个国家及组织对煎炸新油有明确规定，指标集中于限定芥酸、亚麻酸、游离脂肪酸的含量和烟点等。多国也规定了煎炸油废弃点的强制指标，如极性化合物、游离脂肪酸和甘油三酯聚合物等。但国内暂无现行有效的针对煎炸新油的产品标准。GB 2716《食品安全国家标准 植物油》中对煎炸过程中食用植物油的酸价和极性组分的限量做了规定，明确了煎炸油的废弃标准；餐饮操作类标准GB 31654《食品安全国家标准  餐饮服务通用卫生标准》和《餐饮服务食品安全操作规范》则是以保证煎炸过程的食品安全性为导向，对烹饪过程中的操作进行规范和引导。以上标准和规范不足以帮助消费者选择适合煎炸的产品，也不足以帮助市场对优劣质大豆油基煎炸油进行区分，因此，特提出制定《大豆油基煎炸油》产品标准。</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制定《大豆油基煎炸油》产品团体标准，以此来规范并提升大豆煎炸油品质，降低产品吸油率、改善煎炸产品口感、减少危害物生成，同时，在保证消费者对营养和健康需求的同时，对保障质量安全具有重要意义；又能为大豆煎炸油的品质界定、优质优价和规范市场行为发挥积极作用。</w:t>
      </w:r>
    </w:p>
    <w:p>
      <w:pPr>
        <w:adjustRightInd w:val="0"/>
        <w:snapToGrid w:val="0"/>
        <w:spacing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1.2 协作单位（除第一起草单位外的其他主要起草单位）</w:t>
      </w:r>
    </w:p>
    <w:p>
      <w:pPr>
        <w:adjustRightInd w:val="0"/>
        <w:snapToGrid w:val="0"/>
        <w:spacing w:line="360" w:lineRule="auto"/>
        <w:ind w:firstLine="480" w:firstLineChars="200"/>
        <w:jc w:val="left"/>
        <w:rPr>
          <w:rFonts w:ascii="Times New Roman" w:hAnsi="Times New Roman" w:eastAsia="宋体" w:cs="Times New Roman"/>
          <w:sz w:val="24"/>
          <w:szCs w:val="24"/>
        </w:rPr>
      </w:pPr>
      <w:bookmarkStart w:id="1" w:name="_Hlk111477333"/>
      <w:r>
        <w:rPr>
          <w:rFonts w:ascii="Times New Roman" w:hAnsi="Times New Roman" w:eastAsia="宋体" w:cs="Times New Roman"/>
          <w:sz w:val="24"/>
          <w:szCs w:val="24"/>
        </w:rPr>
        <w:t>武汉轻工大学、中粮黄海粮油工业（山东）有限公司、中粮新沙粮油工业(东莞)有限公司等。</w:t>
      </w:r>
    </w:p>
    <w:bookmarkEnd w:id="1"/>
    <w:p>
      <w:pPr>
        <w:adjustRightInd w:val="0"/>
        <w:snapToGrid w:val="0"/>
        <w:spacing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1.3 主要工作过程（应包括标准起草阶段、征求意见阶段、审查阶段、报批阶段等）</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该标准制定任务下达后，中粮营养健康研究院有限公司牵头成立了《大豆油基煎炸油》团体标准起草工作小组，明确了项目负责人，制定了详细的工作计划，开展本标准制定的各项工作。本标准的主要工作过程为：</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1.3.1 收集、查阅、整理相关资料</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为了保证标准的权威性，根据项目内容确定具体的调研方案和计划后，标准小组按照项目任务要求，迅速开展工作。首先，调研了作为煎炸用途的大豆油的产品性能、大豆基煎炸油的生产工艺现状、产品配方和客户的用油需求。其次，查阅了大量的有关煎炸油的国内外文献，对其质量指标限定、微生物及卫生安全要求、储存和运输要求的研究文献进行了归纳、总结，并收集和整理了多项有大豆基煎炸油课题研究的进展和成果。最后，针对煎炸过程易发烟、营养素损失快、煎炸时间短等、理化指标易超过食品安全标准，同时煎炸的产品存在吸油率高、酥脆度差等问题，通过检测分析、数据对比和综合研判，限定了大豆基煎炸油产品的质量指标和特定指标。</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1.3.2 企业调研</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 xml:space="preserve">  为保证团体标准与国家标准、行业标准协调互补，完善粮油产业标准体系，促进我国粮油产业发展，提升粮油产业市场竞争力。为保证标准更附合煎炸行业发展要求，能够更有利于推动技术创新和科学进步，标准起草小组于2021年6月起，先后对南城香、德克士、麦当劳和肯德基等餐饮公司进行了走访调研，也对中粮黄海粮油工业（山东）有限公司、中粮新沙粮油工业(东莞)有限公司等油脂生产企业进行了走访和调研，并采集、整理、检测了用于煎炸的油脂产品的基本组成和物理参数、产品质量指标、产品营养声称指标，并就上述三个方面指标向大专院校、科研院所、生产企业等相关单位征询调研标准相关指标的意见。调研工作得到了各单位的大力支持，针对《大豆油基煎炸油》团体标准的制定提出了诸多宝贵意见和建议。</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1.3.3 样品采集</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标准起草小组在筛选了具有一定影响力的使用煎炸油的餐饮企业60余家，并从餐饮企业和油脂生产企业共选取煎炸用油样品17份，这些样品能够充分反映目前煎炸行业用油的水平。</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1.3.4 样品检测</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目前样品的检测分析工作由国贸食品科技有限公司三家检验检测机构完成。检测指标包括：基本指标（相对密度和脂肪酸组成），质量指标（色泽、透明度、滋味和气味、水分及挥发物、不溶性杂质、酸价、过氧化值、加热试验、烟点、冷冻实验、溶剂残留量），特征指标(维生素E、聚甘油脂肪酸酯)，食品安全指标（黄曲霉毒素B1、苯并[a]芘、塑化剂），并对样品检测结果进行数据汇总与分析。</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标准起草小组参考GB 2716-2018《食品安全国家标准 植物油》和GB/T 1535-2017《大豆油》标准的部分参数，对指标参数进行研究分析和整理。根据GB/T 1.1-2009等标准编制的要求，参照国家相关食品质量安全标准，确定标准草案的相关内容。</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标准起草小组通过征求相关专家、企业和用户的意见，形成本征求意见稿。</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1.3.5 产品验证</w:t>
      </w:r>
    </w:p>
    <w:p>
      <w:pPr>
        <w:adjustRightInd w:val="0"/>
        <w:snapToGrid w:val="0"/>
        <w:spacing w:line="360" w:lineRule="auto"/>
        <w:ind w:firstLine="480" w:firstLineChars="200"/>
        <w:jc w:val="left"/>
        <w:rPr>
          <w:rFonts w:ascii="Times New Roman" w:hAnsi="Times New Roman" w:eastAsia="宋体" w:cs="Times New Roman"/>
          <w:bCs/>
          <w:sz w:val="24"/>
          <w:szCs w:val="24"/>
        </w:rPr>
      </w:pPr>
      <w:r>
        <w:rPr>
          <w:rFonts w:ascii="Times New Roman" w:hAnsi="Times New Roman" w:eastAsia="宋体" w:cs="Times New Roman"/>
          <w:bCs/>
          <w:sz w:val="24"/>
          <w:szCs w:val="24"/>
        </w:rPr>
        <w:t>按本标准生产的产品经南城香、东方一品、丁大尚炸串店、福来居、薯栗坊串串红、胖子炸鸡、汪阿姨炸鸡、永顺炸鸡、叫了只炸鸡、空投炸串、麻辣私厨、王婆大虾、午酒小炸、川香小馆、东北家常菜、巨好吃食府、姥姥家烧菜馆、锦州炸串等使用后，一致认为以该标准控制生产的“大豆油基煎炸油”产品的品质较好，使用方便。油炸出来的产品口感酥脆、色泽金黄，吸油低，煎炸过程中油烟少、不呛鼻、不辣眼，油色清亮，不易起泡，煎炸时间也有了明显提升。油脂的营养性和食品的安性得到了保证，能满足煎炸需求。</w:t>
      </w:r>
    </w:p>
    <w:p>
      <w:pPr>
        <w:adjustRightInd w:val="0"/>
        <w:snapToGrid w:val="0"/>
        <w:spacing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1.4 标准主要起草人及其所做的工作等</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主要起草人包括王翔宇、何东平、陈焱、王风艳、孙承国、刘杲华、山长柱、尤梦圆、初柏君、李晓龙、孙百创、周胜利等。</w:t>
      </w:r>
    </w:p>
    <w:tbl>
      <w:tblPr>
        <w:tblStyle w:val="6"/>
        <w:tblW w:w="51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1104"/>
        <w:gridCol w:w="2652"/>
        <w:gridCol w:w="2426"/>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430" w:type="pct"/>
            <w:vAlign w:val="center"/>
          </w:tcPr>
          <w:p>
            <w:pPr>
              <w:jc w:val="center"/>
              <w:rPr>
                <w:rFonts w:ascii="Times New Roman" w:hAnsi="Times New Roman" w:eastAsia="宋体" w:cs="Times New Roman"/>
                <w:b/>
                <w:sz w:val="24"/>
              </w:rPr>
            </w:pPr>
            <w:r>
              <w:rPr>
                <w:rFonts w:ascii="Times New Roman" w:hAnsi="Times New Roman" w:eastAsia="宋体" w:cs="Times New Roman"/>
                <w:b/>
                <w:sz w:val="24"/>
              </w:rPr>
              <w:t>序号</w:t>
            </w:r>
          </w:p>
        </w:tc>
        <w:tc>
          <w:tcPr>
            <w:tcW w:w="630" w:type="pct"/>
            <w:vAlign w:val="center"/>
          </w:tcPr>
          <w:p>
            <w:pPr>
              <w:adjustRightInd w:val="0"/>
              <w:snapToGrid w:val="0"/>
              <w:jc w:val="center"/>
              <w:rPr>
                <w:rFonts w:ascii="Times New Roman" w:hAnsi="Times New Roman" w:eastAsia="宋体" w:cs="Times New Roman"/>
                <w:b/>
                <w:sz w:val="24"/>
              </w:rPr>
            </w:pPr>
            <w:r>
              <w:rPr>
                <w:rFonts w:ascii="Times New Roman" w:hAnsi="Times New Roman" w:eastAsia="宋体" w:cs="Times New Roman"/>
                <w:b/>
                <w:sz w:val="24"/>
              </w:rPr>
              <w:t>姓名</w:t>
            </w:r>
          </w:p>
        </w:tc>
        <w:tc>
          <w:tcPr>
            <w:tcW w:w="1514" w:type="pct"/>
            <w:vAlign w:val="center"/>
          </w:tcPr>
          <w:p>
            <w:pPr>
              <w:jc w:val="center"/>
              <w:rPr>
                <w:rFonts w:ascii="Times New Roman" w:hAnsi="Times New Roman" w:eastAsia="宋体" w:cs="Times New Roman"/>
                <w:b/>
                <w:sz w:val="24"/>
              </w:rPr>
            </w:pPr>
            <w:r>
              <w:rPr>
                <w:rFonts w:ascii="Times New Roman" w:hAnsi="Times New Roman" w:eastAsia="宋体" w:cs="Times New Roman"/>
                <w:b/>
                <w:sz w:val="24"/>
              </w:rPr>
              <w:t>单位</w:t>
            </w:r>
          </w:p>
        </w:tc>
        <w:tc>
          <w:tcPr>
            <w:tcW w:w="1385" w:type="pct"/>
            <w:vAlign w:val="center"/>
          </w:tcPr>
          <w:p>
            <w:pPr>
              <w:jc w:val="center"/>
              <w:rPr>
                <w:rFonts w:ascii="Times New Roman" w:hAnsi="Times New Roman" w:eastAsia="宋体" w:cs="Times New Roman"/>
                <w:b/>
                <w:sz w:val="24"/>
              </w:rPr>
            </w:pPr>
            <w:r>
              <w:rPr>
                <w:rFonts w:ascii="Times New Roman" w:hAnsi="Times New Roman" w:eastAsia="宋体" w:cs="Times New Roman"/>
                <w:b/>
                <w:sz w:val="24"/>
              </w:rPr>
              <w:t>职务/职称</w:t>
            </w:r>
          </w:p>
        </w:tc>
        <w:tc>
          <w:tcPr>
            <w:tcW w:w="1040" w:type="pct"/>
            <w:vAlign w:val="center"/>
          </w:tcPr>
          <w:p>
            <w:pPr>
              <w:jc w:val="center"/>
              <w:rPr>
                <w:rFonts w:ascii="Times New Roman" w:hAnsi="Times New Roman" w:eastAsia="宋体" w:cs="Times New Roman"/>
                <w:b/>
                <w:sz w:val="24"/>
              </w:rPr>
            </w:pPr>
            <w:r>
              <w:rPr>
                <w:rFonts w:ascii="Times New Roman" w:hAnsi="Times New Roman" w:eastAsia="宋体" w:cs="Times New Roman"/>
                <w:b/>
                <w:sz w:val="24"/>
              </w:rPr>
              <w:t>工作分工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1</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王翔宇</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中粮营养健康研究院有限公司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油脂研发中心副主任/高工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统筹标准制定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2</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何东平</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sz w:val="24"/>
              </w:rPr>
              <w:t>武汉轻工大学</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/教授</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标准起草1-8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3</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陈  焱</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中粮营养健康研究院有限公司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技术开发经理/高工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编制说明</w:t>
            </w:r>
          </w:p>
          <w:p>
            <w:pPr>
              <w:rPr>
                <w:rFonts w:ascii="Times New Roman" w:hAnsi="Times New Roman" w:eastAsia="宋体" w:cs="Times New Roman"/>
                <w:sz w:val="24"/>
              </w:rPr>
            </w:pPr>
            <w:r>
              <w:rPr>
                <w:rFonts w:ascii="Times New Roman" w:hAnsi="Times New Roman" w:eastAsia="宋体" w:cs="Times New Roman"/>
                <w:sz w:val="24"/>
              </w:rPr>
              <w:t xml:space="preserve">标准4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4</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王风艳</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中粮营养健康研究院有限公司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主任助理/正高</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标准起草1-8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5</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孙承国</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sz w:val="24"/>
              </w:rPr>
              <w:t>中粮油脂控股有限公司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总经理/高工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 xml:space="preserve">标准起草1-3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6</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color w:val="000000"/>
                <w:sz w:val="24"/>
                <w:lang w:val="en-GB"/>
              </w:rPr>
              <w:t>刘杲华</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中粮黄海粮油工业（山东）有限公司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副院长/正高工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技术验证</w:t>
            </w:r>
          </w:p>
          <w:p>
            <w:pPr>
              <w:rPr>
                <w:rFonts w:ascii="Times New Roman" w:hAnsi="Times New Roman" w:eastAsia="宋体" w:cs="Times New Roman"/>
                <w:sz w:val="24"/>
              </w:rPr>
            </w:pPr>
            <w:r>
              <w:rPr>
                <w:rFonts w:ascii="Times New Roman" w:hAnsi="Times New Roman" w:eastAsia="宋体" w:cs="Times New Roman"/>
                <w:sz w:val="24"/>
              </w:rPr>
              <w:t>标准5-8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7</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尤梦圆</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中粮营养健康研究院有限公司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产品开发经理/高工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产品检测</w:t>
            </w:r>
          </w:p>
          <w:p>
            <w:pPr>
              <w:rPr>
                <w:rFonts w:ascii="Times New Roman" w:hAnsi="Times New Roman" w:eastAsia="宋体" w:cs="Times New Roman"/>
                <w:sz w:val="24"/>
              </w:rPr>
            </w:pPr>
            <w:r>
              <w:rPr>
                <w:rFonts w:ascii="Times New Roman" w:hAnsi="Times New Roman" w:eastAsia="宋体" w:cs="Times New Roman"/>
                <w:sz w:val="24"/>
              </w:rPr>
              <w:t>标准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8</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color w:val="000000"/>
                <w:sz w:val="24"/>
                <w:lang w:val="en-GB"/>
              </w:rPr>
              <w:t>山长柱</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中粮黄海粮油工业（山东）有限公司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院长助理/高工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技术审查</w:t>
            </w:r>
          </w:p>
          <w:p>
            <w:pPr>
              <w:rPr>
                <w:rFonts w:ascii="Times New Roman" w:hAnsi="Times New Roman" w:eastAsia="宋体" w:cs="Times New Roman"/>
                <w:sz w:val="24"/>
              </w:rPr>
            </w:pPr>
            <w:r>
              <w:rPr>
                <w:rFonts w:ascii="Times New Roman" w:hAnsi="Times New Roman" w:eastAsia="宋体" w:cs="Times New Roman"/>
                <w:sz w:val="24"/>
              </w:rPr>
              <w:t>标准4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9</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初柏君</w:t>
            </w:r>
          </w:p>
        </w:tc>
        <w:tc>
          <w:tcPr>
            <w:tcW w:w="1514" w:type="pct"/>
            <w:vAlign w:val="center"/>
          </w:tcPr>
          <w:p>
            <w:pPr>
              <w:jc w:val="left"/>
              <w:rPr>
                <w:rFonts w:ascii="Times New Roman" w:hAnsi="Times New Roman" w:eastAsia="宋体" w:cs="Times New Roman"/>
                <w:sz w:val="24"/>
              </w:rPr>
            </w:pPr>
            <w:r>
              <w:rPr>
                <w:rFonts w:ascii="Times New Roman" w:hAnsi="Times New Roman" w:eastAsia="宋体" w:cs="Times New Roman"/>
                <w:color w:val="000000"/>
                <w:sz w:val="24"/>
                <w:lang w:val="en-GB"/>
              </w:rPr>
              <w:t>中粮营养健康研究院有限公司</w:t>
            </w:r>
          </w:p>
        </w:tc>
        <w:tc>
          <w:tcPr>
            <w:tcW w:w="1385" w:type="pct"/>
            <w:vAlign w:val="center"/>
          </w:tcPr>
          <w:p>
            <w:pPr>
              <w:jc w:val="left"/>
              <w:rPr>
                <w:rFonts w:ascii="Times New Roman" w:hAnsi="Times New Roman" w:eastAsia="宋体" w:cs="Times New Roman"/>
                <w:sz w:val="24"/>
              </w:rPr>
            </w:pPr>
            <w:r>
              <w:rPr>
                <w:rFonts w:ascii="Times New Roman" w:hAnsi="Times New Roman" w:eastAsia="宋体" w:cs="Times New Roman"/>
                <w:sz w:val="24"/>
              </w:rPr>
              <w:t>包装油脂班组长/高工</w:t>
            </w:r>
          </w:p>
        </w:tc>
        <w:tc>
          <w:tcPr>
            <w:tcW w:w="1040" w:type="pct"/>
            <w:vAlign w:val="center"/>
          </w:tcPr>
          <w:p>
            <w:pPr>
              <w:jc w:val="left"/>
              <w:rPr>
                <w:rFonts w:ascii="Times New Roman" w:hAnsi="Times New Roman" w:eastAsia="宋体" w:cs="Times New Roman"/>
                <w:sz w:val="24"/>
              </w:rPr>
            </w:pPr>
            <w:r>
              <w:rPr>
                <w:rFonts w:ascii="Times New Roman" w:hAnsi="Times New Roman" w:eastAsia="宋体" w:cs="Times New Roman"/>
                <w:sz w:val="24"/>
              </w:rPr>
              <w:t>技术审查</w:t>
            </w:r>
          </w:p>
          <w:p>
            <w:pPr>
              <w:jc w:val="left"/>
              <w:rPr>
                <w:rFonts w:ascii="Times New Roman" w:hAnsi="Times New Roman" w:eastAsia="宋体" w:cs="Times New Roman"/>
                <w:sz w:val="24"/>
              </w:rPr>
            </w:pPr>
            <w:r>
              <w:rPr>
                <w:rFonts w:ascii="Times New Roman" w:hAnsi="Times New Roman" w:eastAsia="宋体" w:cs="Times New Roman"/>
                <w:sz w:val="24"/>
              </w:rPr>
              <w:t>标准1-8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10</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李晓龙</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中粮营养健康研究院有限公司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主任助理/高工</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产品检测</w:t>
            </w:r>
          </w:p>
          <w:p>
            <w:pPr>
              <w:rPr>
                <w:rFonts w:ascii="Times New Roman" w:hAnsi="Times New Roman" w:eastAsia="宋体" w:cs="Times New Roman"/>
                <w:sz w:val="24"/>
              </w:rPr>
            </w:pPr>
            <w:r>
              <w:rPr>
                <w:rFonts w:ascii="Times New Roman" w:hAnsi="Times New Roman" w:eastAsia="宋体" w:cs="Times New Roman"/>
                <w:sz w:val="24"/>
              </w:rPr>
              <w:t>标准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11</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color w:val="000000"/>
                <w:sz w:val="24"/>
                <w:lang w:val="en-GB"/>
              </w:rPr>
              <w:t>孙百创</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color w:val="000000"/>
                <w:sz w:val="24"/>
                <w:lang w:val="en-GB"/>
              </w:rPr>
              <w:t>中粮新沙粮油工业(东莞)有限公司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实验室主任/工程师</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标准调研</w:t>
            </w:r>
          </w:p>
          <w:p>
            <w:pPr>
              <w:rPr>
                <w:rFonts w:ascii="Times New Roman" w:hAnsi="Times New Roman" w:eastAsia="宋体" w:cs="Times New Roman"/>
                <w:sz w:val="24"/>
              </w:rPr>
            </w:pPr>
            <w:r>
              <w:rPr>
                <w:rFonts w:ascii="Times New Roman" w:hAnsi="Times New Roman" w:eastAsia="宋体" w:cs="Times New Roman"/>
                <w:sz w:val="24"/>
              </w:rPr>
              <w:t>成品验证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0" w:type="pct"/>
            <w:vAlign w:val="center"/>
          </w:tcPr>
          <w:p>
            <w:pPr>
              <w:jc w:val="center"/>
              <w:rPr>
                <w:rFonts w:ascii="Times New Roman" w:hAnsi="Times New Roman" w:eastAsia="宋体" w:cs="Times New Roman"/>
                <w:sz w:val="24"/>
              </w:rPr>
            </w:pPr>
            <w:r>
              <w:rPr>
                <w:rFonts w:ascii="Times New Roman" w:hAnsi="Times New Roman" w:eastAsia="宋体" w:cs="Times New Roman"/>
                <w:sz w:val="24"/>
              </w:rPr>
              <w:t>12</w:t>
            </w:r>
          </w:p>
        </w:tc>
        <w:tc>
          <w:tcPr>
            <w:tcW w:w="630" w:type="pct"/>
            <w:vAlign w:val="center"/>
          </w:tcPr>
          <w:p>
            <w:pPr>
              <w:jc w:val="center"/>
              <w:rPr>
                <w:rFonts w:ascii="Times New Roman" w:hAnsi="Times New Roman" w:eastAsia="宋体" w:cs="Times New Roman"/>
                <w:sz w:val="24"/>
              </w:rPr>
            </w:pPr>
            <w:r>
              <w:rPr>
                <w:rFonts w:ascii="Times New Roman" w:hAnsi="Times New Roman" w:eastAsia="宋体" w:cs="Times New Roman"/>
                <w:color w:val="000000"/>
                <w:sz w:val="24"/>
                <w:lang w:val="en-GB"/>
              </w:rPr>
              <w:t>周胜利</w:t>
            </w:r>
          </w:p>
        </w:tc>
        <w:tc>
          <w:tcPr>
            <w:tcW w:w="1514" w:type="pct"/>
            <w:vAlign w:val="center"/>
          </w:tcPr>
          <w:p>
            <w:pPr>
              <w:rPr>
                <w:rFonts w:ascii="Times New Roman" w:hAnsi="Times New Roman" w:eastAsia="宋体" w:cs="Times New Roman"/>
                <w:sz w:val="24"/>
              </w:rPr>
            </w:pPr>
            <w:r>
              <w:rPr>
                <w:rFonts w:ascii="Times New Roman" w:hAnsi="Times New Roman" w:eastAsia="宋体" w:cs="Times New Roman"/>
                <w:sz w:val="24"/>
              </w:rPr>
              <w:t>中粮油脂控股有限公司</w:t>
            </w:r>
          </w:p>
        </w:tc>
        <w:tc>
          <w:tcPr>
            <w:tcW w:w="1385" w:type="pct"/>
            <w:vAlign w:val="center"/>
          </w:tcPr>
          <w:p>
            <w:pPr>
              <w:rPr>
                <w:rFonts w:ascii="Times New Roman" w:hAnsi="Times New Roman" w:eastAsia="宋体" w:cs="Times New Roman"/>
                <w:sz w:val="24"/>
              </w:rPr>
            </w:pPr>
            <w:r>
              <w:rPr>
                <w:rFonts w:ascii="Times New Roman" w:hAnsi="Times New Roman" w:eastAsia="宋体" w:cs="Times New Roman"/>
                <w:sz w:val="24"/>
              </w:rPr>
              <w:t>实验室主任/工程师</w:t>
            </w:r>
          </w:p>
        </w:tc>
        <w:tc>
          <w:tcPr>
            <w:tcW w:w="1040" w:type="pct"/>
            <w:vAlign w:val="center"/>
          </w:tcPr>
          <w:p>
            <w:pPr>
              <w:rPr>
                <w:rFonts w:ascii="Times New Roman" w:hAnsi="Times New Roman" w:eastAsia="宋体" w:cs="Times New Roman"/>
                <w:sz w:val="24"/>
              </w:rPr>
            </w:pPr>
            <w:r>
              <w:rPr>
                <w:rFonts w:ascii="Times New Roman" w:hAnsi="Times New Roman" w:eastAsia="宋体" w:cs="Times New Roman"/>
                <w:sz w:val="24"/>
              </w:rPr>
              <w:t>标准调研</w:t>
            </w:r>
          </w:p>
          <w:p>
            <w:pPr>
              <w:rPr>
                <w:rFonts w:ascii="Times New Roman" w:hAnsi="Times New Roman" w:eastAsia="宋体" w:cs="Times New Roman"/>
                <w:sz w:val="24"/>
              </w:rPr>
            </w:pPr>
            <w:r>
              <w:rPr>
                <w:rFonts w:ascii="Times New Roman" w:hAnsi="Times New Roman" w:eastAsia="宋体" w:cs="Times New Roman"/>
                <w:sz w:val="24"/>
              </w:rPr>
              <w:t>成品验证</w:t>
            </w:r>
          </w:p>
        </w:tc>
      </w:tr>
    </w:tbl>
    <w:p>
      <w:pPr>
        <w:adjustRightInd w:val="0"/>
        <w:snapToGrid w:val="0"/>
        <w:spacing w:line="360" w:lineRule="auto"/>
        <w:ind w:firstLine="480" w:firstLineChars="200"/>
        <w:jc w:val="left"/>
        <w:rPr>
          <w:rFonts w:ascii="Times New Roman" w:hAnsi="Times New Roman" w:eastAsia="宋体" w:cs="Times New Roman"/>
          <w:sz w:val="24"/>
          <w:szCs w:val="24"/>
        </w:rPr>
      </w:pP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2．标准编制原则和确定标准主要内容</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本标准遵循GB/T 1.1-2000《标准化工作导则 第1部分：标准的结构和编写规则》、GB/T 1.2-2002《标准化工作导则 第2部分：标准中规范性技术要素内容的确定方法》，在采集样品检测数据和调研资料的基础上研究确定了定义、质量指标项目和指标值，其主要内容包括：</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封面：按国标对封面的格式要求编写。</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前言：按国标规定的格式编写。前言表明，</w:t>
      </w:r>
      <w:r>
        <w:rPr>
          <w:rFonts w:hint="eastAsia" w:ascii="宋体" w:hAnsi="宋体" w:eastAsia="宋体" w:cs="宋体"/>
          <w:sz w:val="24"/>
          <w:szCs w:val="24"/>
        </w:rPr>
        <w:t>①</w:t>
      </w:r>
      <w:r>
        <w:rPr>
          <w:rFonts w:ascii="Times New Roman" w:hAnsi="Times New Roman" w:eastAsia="宋体" w:cs="Times New Roman"/>
          <w:sz w:val="24"/>
          <w:szCs w:val="24"/>
        </w:rPr>
        <w:t>本标准的提出单位为中国粮油学会；</w:t>
      </w:r>
      <w:r>
        <w:rPr>
          <w:rFonts w:hint="eastAsia" w:ascii="宋体" w:hAnsi="宋体" w:eastAsia="宋体" w:cs="宋体"/>
          <w:sz w:val="24"/>
          <w:szCs w:val="24"/>
        </w:rPr>
        <w:t>②</w:t>
      </w:r>
      <w:r>
        <w:rPr>
          <w:rFonts w:ascii="Times New Roman" w:hAnsi="Times New Roman" w:eastAsia="宋体" w:cs="Times New Roman"/>
          <w:sz w:val="24"/>
          <w:szCs w:val="24"/>
        </w:rPr>
        <w:t>本标准的归口单位为中国粮油学会；</w:t>
      </w:r>
      <w:r>
        <w:rPr>
          <w:rFonts w:hint="eastAsia" w:ascii="宋体" w:hAnsi="宋体" w:eastAsia="宋体" w:cs="宋体"/>
          <w:sz w:val="24"/>
          <w:szCs w:val="24"/>
        </w:rPr>
        <w:t>③</w:t>
      </w:r>
      <w:r>
        <w:rPr>
          <w:rFonts w:ascii="Times New Roman" w:hAnsi="Times New Roman" w:eastAsia="宋体" w:cs="Times New Roman"/>
          <w:sz w:val="24"/>
          <w:szCs w:val="24"/>
        </w:rPr>
        <w:t>本标准的起草单位为中粮营养健康研究院有限公司、武汉轻工大学、中粮黄海粮油工业（山东）有限公司、中粮新沙粮油工业(东莞)有限公司。</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标准主体内容：本标准规定了大豆油基煎炸油的术语和定义、质量要求、检验方法、检验规则、标签和标识、包装、运输、贮存和销售的要求。</w:t>
      </w:r>
    </w:p>
    <w:p>
      <w:pPr>
        <w:spacing w:line="360" w:lineRule="auto"/>
        <w:ind w:firstLine="482" w:firstLineChars="200"/>
        <w:rPr>
          <w:rFonts w:ascii="Times New Roman" w:hAnsi="Times New Roman" w:eastAsia="宋体" w:cs="Times New Roman"/>
          <w:b/>
          <w:color w:val="000000"/>
          <w:kern w:val="0"/>
          <w:sz w:val="24"/>
        </w:rPr>
      </w:pPr>
      <w:r>
        <w:rPr>
          <w:rFonts w:ascii="Times New Roman" w:hAnsi="Times New Roman" w:eastAsia="宋体" w:cs="Times New Roman"/>
          <w:b/>
          <w:color w:val="000000"/>
          <w:kern w:val="0"/>
          <w:sz w:val="24"/>
        </w:rPr>
        <w:t>2.1 术语和定义</w:t>
      </w:r>
    </w:p>
    <w:p>
      <w:pPr>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 xml:space="preserve">本标准的术语和定义参照了GB/T 8873-2008《粮油名词术语 油脂工业》、GB/T  22515-2008《粮油名词术语 </w:t>
      </w:r>
      <w:r>
        <w:fldChar w:fldCharType="begin"/>
      </w:r>
      <w:r>
        <w:instrText xml:space="preserve"> HYPERLINK "http://down.foodmate.net/standard/sort/3/17846.html" \t "_blank" \o "GB/T 22515-2008 粮油名词术语 粮食、油料及其加工产品" </w:instrText>
      </w:r>
      <w:r>
        <w:fldChar w:fldCharType="separate"/>
      </w:r>
      <w:r>
        <w:rPr>
          <w:rFonts w:ascii="Times New Roman" w:hAnsi="Times New Roman" w:eastAsia="宋体" w:cs="Times New Roman"/>
          <w:color w:val="000000"/>
          <w:sz w:val="24"/>
        </w:rPr>
        <w:t>粮食、油料及其加工产品</w:t>
      </w:r>
      <w:r>
        <w:rPr>
          <w:rFonts w:ascii="Times New Roman" w:hAnsi="Times New Roman" w:eastAsia="宋体" w:cs="Times New Roman"/>
          <w:color w:val="000000"/>
          <w:sz w:val="24"/>
        </w:rPr>
        <w:fldChar w:fldCharType="end"/>
      </w:r>
      <w:r>
        <w:rPr>
          <w:rFonts w:ascii="Times New Roman" w:hAnsi="Times New Roman" w:eastAsia="宋体" w:cs="Times New Roman"/>
          <w:color w:val="000000"/>
          <w:sz w:val="24"/>
        </w:rPr>
        <w:t>》、GB/T 26631-2011《粮油名词术语 理化特性和质量》以及《粮食大辞典》、《贝雷油脂化学与工艺学》等相关名称，结合煎炸用油的特殊要求，对标准中大豆油基煎炸油的定义而确定。以大豆油为原料，不添加或辅以少量添加剂，再经混和、包装等工序制成具备烟点高，稳定性好的大豆油基煎炸油。主要目的是在保证液态煎炸油操作便捷的基础上，改善油脂的</w:t>
      </w:r>
      <w:r>
        <w:rPr>
          <w:rFonts w:ascii="Times New Roman" w:hAnsi="Times New Roman" w:eastAsia="宋体" w:cs="Times New Roman"/>
          <w:color w:val="000000"/>
          <w:sz w:val="24"/>
          <w:lang w:val="en-GB"/>
        </w:rPr>
        <w:t>烟</w:t>
      </w:r>
      <w:r>
        <w:rPr>
          <w:rFonts w:ascii="Times New Roman" w:hAnsi="Times New Roman" w:eastAsia="宋体" w:cs="Times New Roman"/>
          <w:color w:val="000000"/>
          <w:sz w:val="24"/>
        </w:rPr>
        <w:t>点</w:t>
      </w:r>
      <w:r>
        <w:rPr>
          <w:rFonts w:ascii="Times New Roman" w:hAnsi="Times New Roman" w:eastAsia="宋体" w:cs="Times New Roman"/>
          <w:color w:val="000000"/>
          <w:sz w:val="24"/>
          <w:lang w:val="en-GB"/>
        </w:rPr>
        <w:t>和</w:t>
      </w:r>
      <w:r>
        <w:rPr>
          <w:rFonts w:ascii="Times New Roman" w:hAnsi="Times New Roman" w:eastAsia="宋体" w:cs="Times New Roman"/>
          <w:color w:val="000000"/>
          <w:sz w:val="24"/>
        </w:rPr>
        <w:t>稳定性。</w:t>
      </w:r>
    </w:p>
    <w:p>
      <w:pPr>
        <w:spacing w:line="360" w:lineRule="auto"/>
        <w:ind w:firstLine="482" w:firstLineChars="200"/>
        <w:rPr>
          <w:rFonts w:ascii="Times New Roman" w:hAnsi="Times New Roman" w:eastAsia="宋体" w:cs="Times New Roman"/>
          <w:b/>
          <w:bCs/>
          <w:color w:val="000000"/>
          <w:sz w:val="24"/>
        </w:rPr>
      </w:pPr>
      <w:r>
        <w:rPr>
          <w:rFonts w:ascii="Times New Roman" w:hAnsi="Times New Roman" w:eastAsia="宋体" w:cs="Times New Roman"/>
          <w:b/>
          <w:bCs/>
          <w:color w:val="000000"/>
          <w:sz w:val="24"/>
        </w:rPr>
        <w:t>2.2 质量要求</w:t>
      </w:r>
    </w:p>
    <w:p>
      <w:pPr>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此次标准制定中，起草组在查阅国内外资料后，参考最新修订</w:t>
      </w:r>
      <w:r>
        <w:rPr>
          <w:rFonts w:ascii="Times New Roman" w:hAnsi="Times New Roman" w:eastAsia="宋体" w:cs="Times New Roman"/>
          <w:sz w:val="24"/>
          <w:lang w:val="en-GB"/>
        </w:rPr>
        <w:t>《植物油》GB</w:t>
      </w:r>
      <w:r>
        <w:rPr>
          <w:rFonts w:ascii="Times New Roman" w:hAnsi="Times New Roman" w:eastAsia="宋体" w:cs="Times New Roman"/>
          <w:sz w:val="24"/>
        </w:rPr>
        <w:t xml:space="preserve"> </w:t>
      </w:r>
      <w:r>
        <w:rPr>
          <w:rFonts w:ascii="Times New Roman" w:hAnsi="Times New Roman" w:eastAsia="宋体" w:cs="Times New Roman"/>
          <w:sz w:val="24"/>
          <w:lang w:val="en-GB"/>
        </w:rPr>
        <w:t>2716-2018、</w:t>
      </w:r>
      <w:r>
        <w:rPr>
          <w:rFonts w:ascii="Times New Roman" w:hAnsi="Times New Roman" w:eastAsia="宋体" w:cs="Times New Roman"/>
          <w:sz w:val="24"/>
        </w:rPr>
        <w:t>《</w:t>
      </w:r>
      <w:r>
        <w:rPr>
          <w:rFonts w:ascii="Times New Roman" w:hAnsi="Times New Roman" w:eastAsia="宋体" w:cs="Times New Roman"/>
          <w:color w:val="000000"/>
          <w:sz w:val="24"/>
        </w:rPr>
        <w:t>大豆油</w:t>
      </w:r>
      <w:r>
        <w:rPr>
          <w:rFonts w:ascii="Times New Roman" w:hAnsi="Times New Roman" w:eastAsia="宋体" w:cs="Times New Roman"/>
          <w:sz w:val="24"/>
        </w:rPr>
        <w:t>》GB/T 1535-2017的国家标准</w:t>
      </w:r>
      <w:r>
        <w:rPr>
          <w:rFonts w:ascii="Times New Roman" w:hAnsi="Times New Roman" w:eastAsia="宋体" w:cs="Times New Roman"/>
          <w:color w:val="000000"/>
          <w:sz w:val="24"/>
        </w:rPr>
        <w:t>，对基本参数、质量指标、特征指标和安全指标进行了设置。</w:t>
      </w:r>
    </w:p>
    <w:p>
      <w:pPr>
        <w:pStyle w:val="12"/>
        <w:spacing w:line="360" w:lineRule="auto"/>
        <w:ind w:firstLine="482"/>
        <w:rPr>
          <w:rFonts w:ascii="Times New Roman" w:hAnsi="Times New Roman" w:eastAsia="宋体" w:cs="Times New Roman"/>
          <w:b/>
          <w:bCs/>
          <w:color w:val="000000"/>
          <w:sz w:val="24"/>
        </w:rPr>
      </w:pPr>
      <w:r>
        <w:rPr>
          <w:rFonts w:ascii="Times New Roman" w:hAnsi="Times New Roman" w:eastAsia="宋体" w:cs="Times New Roman"/>
          <w:b/>
          <w:bCs/>
          <w:color w:val="000000"/>
          <w:sz w:val="24"/>
        </w:rPr>
        <w:t>2.2.1 基本参数的制定</w:t>
      </w:r>
    </w:p>
    <w:p>
      <w:pPr>
        <w:snapToGrid w:val="0"/>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基本参数是大豆油基专用油的基本要求，本标准的基本参数项目共设置2个项目，包括：折光指数（n</w:t>
      </w:r>
      <w:r>
        <w:rPr>
          <w:rFonts w:ascii="Times New Roman" w:hAnsi="Times New Roman" w:eastAsia="宋体" w:cs="Times New Roman"/>
          <w:color w:val="000000"/>
          <w:sz w:val="24"/>
          <w:vertAlign w:val="superscript"/>
        </w:rPr>
        <w:t>20</w:t>
      </w:r>
      <w:r>
        <w:rPr>
          <w:rFonts w:ascii="Times New Roman" w:hAnsi="Times New Roman" w:eastAsia="宋体" w:cs="Times New Roman"/>
          <w:color w:val="000000"/>
          <w:sz w:val="24"/>
        </w:rPr>
        <w:t>）和脂肪酸组成。</w:t>
      </w:r>
    </w:p>
    <w:p>
      <w:pPr>
        <w:snapToGrid w:val="0"/>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标准起草小组对选取的17份用于煎炸的大豆油样品进行了基本参数和脂肪酸组成进行检测、汇总，测得的结果</w:t>
      </w:r>
      <w:r>
        <w:rPr>
          <w:rFonts w:ascii="Times New Roman" w:hAnsi="Times New Roman" w:eastAsia="宋体" w:cs="Times New Roman"/>
          <w:sz w:val="24"/>
        </w:rPr>
        <w:t>见表1、表2。</w:t>
      </w:r>
    </w:p>
    <w:p>
      <w:pPr>
        <w:spacing w:line="360" w:lineRule="auto"/>
        <w:jc w:val="center"/>
        <w:rPr>
          <w:rFonts w:ascii="Times New Roman" w:hAnsi="Times New Roman" w:eastAsia="宋体" w:cs="Times New Roman"/>
          <w:bCs/>
          <w:color w:val="000000"/>
        </w:rPr>
      </w:pPr>
      <w:r>
        <w:rPr>
          <w:rFonts w:ascii="Times New Roman" w:hAnsi="Times New Roman" w:eastAsia="宋体" w:cs="Times New Roman"/>
          <w:bCs/>
        </w:rPr>
        <w:t xml:space="preserve">表1  </w:t>
      </w:r>
      <w:r>
        <w:rPr>
          <w:rFonts w:ascii="Times New Roman" w:hAnsi="Times New Roman" w:eastAsia="宋体" w:cs="Times New Roman"/>
          <w:bCs/>
          <w:color w:val="000000"/>
        </w:rPr>
        <w:t>用于煎炸的大豆油基本参数</w:t>
      </w:r>
    </w:p>
    <w:tbl>
      <w:tblPr>
        <w:tblStyle w:val="6"/>
        <w:tblW w:w="5872" w:type="dxa"/>
        <w:jc w:val="center"/>
        <w:tblLayout w:type="fixed"/>
        <w:tblCellMar>
          <w:top w:w="0" w:type="dxa"/>
          <w:left w:w="108" w:type="dxa"/>
          <w:bottom w:w="0" w:type="dxa"/>
          <w:right w:w="108" w:type="dxa"/>
        </w:tblCellMar>
      </w:tblPr>
      <w:tblGrid>
        <w:gridCol w:w="880"/>
        <w:gridCol w:w="1664"/>
        <w:gridCol w:w="1664"/>
        <w:gridCol w:w="1664"/>
      </w:tblGrid>
      <w:tr>
        <w:tblPrEx>
          <w:tblCellMar>
            <w:top w:w="0" w:type="dxa"/>
            <w:left w:w="108" w:type="dxa"/>
            <w:bottom w:w="0" w:type="dxa"/>
            <w:right w:w="108" w:type="dxa"/>
          </w:tblCellMar>
        </w:tblPrEx>
        <w:trPr>
          <w:trHeight w:val="408"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b/>
                <w:bCs/>
                <w:color w:val="000000"/>
                <w:szCs w:val="21"/>
              </w:rPr>
            </w:pPr>
            <w:r>
              <w:rPr>
                <w:rFonts w:ascii="Times New Roman" w:hAnsi="Times New Roman" w:eastAsia="宋体" w:cs="Times New Roman"/>
                <w:b/>
                <w:bCs/>
                <w:color w:val="000000"/>
                <w:kern w:val="0"/>
                <w:szCs w:val="21"/>
                <w:lang w:bidi="ar"/>
              </w:rPr>
              <w:t>序号</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ascii="Times New Roman" w:hAnsi="Times New Roman" w:eastAsia="宋体" w:cs="Times New Roman"/>
                <w:b/>
                <w:bCs/>
                <w:color w:val="000000"/>
                <w:kern w:val="0"/>
                <w:szCs w:val="21"/>
                <w:lang w:bidi="ar"/>
              </w:rPr>
            </w:pPr>
            <w:r>
              <w:rPr>
                <w:rFonts w:ascii="Times New Roman" w:hAnsi="Times New Roman" w:eastAsia="宋体" w:cs="Times New Roman"/>
                <w:b/>
                <w:bCs/>
                <w:color w:val="000000"/>
                <w:kern w:val="0"/>
                <w:szCs w:val="21"/>
                <w:lang w:bidi="ar"/>
              </w:rPr>
              <w:t>折光指数</w:t>
            </w:r>
          </w:p>
          <w:p>
            <w:pPr>
              <w:widowControl/>
              <w:jc w:val="center"/>
              <w:textAlignment w:val="top"/>
              <w:rPr>
                <w:rFonts w:ascii="Times New Roman" w:hAnsi="Times New Roman" w:eastAsia="宋体" w:cs="Times New Roman"/>
                <w:b/>
                <w:bCs/>
                <w:color w:val="000000"/>
                <w:szCs w:val="21"/>
              </w:rPr>
            </w:pPr>
            <w:r>
              <w:rPr>
                <w:rFonts w:ascii="Times New Roman" w:hAnsi="Times New Roman" w:eastAsia="宋体" w:cs="Times New Roman"/>
                <w:color w:val="000000"/>
                <w:szCs w:val="21"/>
              </w:rPr>
              <w:t>（n</w:t>
            </w:r>
            <w:r>
              <w:rPr>
                <w:rFonts w:ascii="Times New Roman" w:hAnsi="Times New Roman" w:eastAsia="宋体" w:cs="Times New Roman"/>
                <w:color w:val="000000"/>
                <w:szCs w:val="21"/>
                <w:vertAlign w:val="superscript"/>
              </w:rPr>
              <w:t>20</w:t>
            </w:r>
            <w:r>
              <w:rPr>
                <w:rFonts w:ascii="Times New Roman" w:hAnsi="Times New Roman" w:eastAsia="宋体" w:cs="Times New Roman"/>
                <w:color w:val="000000"/>
                <w:szCs w:val="21"/>
              </w:rPr>
              <w:t>）</w:t>
            </w:r>
            <w:r>
              <w:rPr>
                <w:rFonts w:ascii="Times New Roman" w:hAnsi="Times New Roman" w:eastAsia="宋体" w:cs="Times New Roman"/>
                <w:b/>
                <w:bCs/>
                <w:color w:val="000000"/>
                <w:kern w:val="0"/>
                <w:szCs w:val="21"/>
                <w:lang w:bidi="ar"/>
              </w:rPr>
              <w:t xml:space="preserve"> </w:t>
            </w:r>
            <w:r>
              <w:rPr>
                <w:rStyle w:val="16"/>
                <w:rFonts w:hint="default" w:ascii="Times New Roman" w:hAnsi="Times New Roman" w:cs="Times New Roman"/>
                <w:b/>
                <w:bCs/>
                <w:sz w:val="21"/>
                <w:szCs w:val="21"/>
                <w:lang w:bidi="ar"/>
              </w:rPr>
              <w:t xml:space="preserve">                 </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ascii="Times New Roman" w:hAnsi="Times New Roman" w:eastAsia="宋体" w:cs="Times New Roman"/>
                <w:b/>
                <w:bCs/>
                <w:color w:val="000000"/>
                <w:kern w:val="0"/>
                <w:szCs w:val="21"/>
                <w:lang w:bidi="ar"/>
              </w:rPr>
            </w:pPr>
            <w:r>
              <w:rPr>
                <w:rFonts w:ascii="Times New Roman" w:hAnsi="Times New Roman" w:eastAsia="宋体" w:cs="Times New Roman"/>
                <w:b/>
                <w:bCs/>
                <w:color w:val="000000"/>
                <w:kern w:val="0"/>
                <w:szCs w:val="21"/>
                <w:lang w:bidi="ar"/>
              </w:rPr>
              <w:t>序号</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ascii="Times New Roman" w:hAnsi="Times New Roman" w:eastAsia="宋体" w:cs="Times New Roman"/>
                <w:b/>
                <w:bCs/>
                <w:color w:val="000000"/>
                <w:kern w:val="0"/>
                <w:szCs w:val="21"/>
                <w:lang w:bidi="ar"/>
              </w:rPr>
            </w:pPr>
            <w:r>
              <w:rPr>
                <w:rFonts w:ascii="Times New Roman" w:hAnsi="Times New Roman" w:eastAsia="宋体" w:cs="Times New Roman"/>
                <w:b/>
                <w:bCs/>
                <w:color w:val="000000"/>
                <w:kern w:val="0"/>
                <w:szCs w:val="21"/>
                <w:lang w:bidi="ar"/>
              </w:rPr>
              <w:t>折光指数</w:t>
            </w:r>
          </w:p>
          <w:p>
            <w:pPr>
              <w:widowControl/>
              <w:jc w:val="center"/>
              <w:textAlignment w:val="top"/>
              <w:rPr>
                <w:rFonts w:ascii="Times New Roman" w:hAnsi="Times New Roman" w:eastAsia="宋体" w:cs="Times New Roman"/>
                <w:b/>
                <w:bCs/>
                <w:color w:val="000000"/>
                <w:kern w:val="0"/>
                <w:szCs w:val="21"/>
                <w:lang w:bidi="ar"/>
              </w:rPr>
            </w:pPr>
            <w:r>
              <w:rPr>
                <w:rFonts w:ascii="Times New Roman" w:hAnsi="Times New Roman" w:eastAsia="宋体" w:cs="Times New Roman"/>
                <w:color w:val="000000"/>
                <w:szCs w:val="21"/>
              </w:rPr>
              <w:t>（n</w:t>
            </w:r>
            <w:r>
              <w:rPr>
                <w:rFonts w:ascii="Times New Roman" w:hAnsi="Times New Roman" w:eastAsia="宋体" w:cs="Times New Roman"/>
                <w:color w:val="000000"/>
                <w:szCs w:val="21"/>
                <w:vertAlign w:val="superscript"/>
              </w:rPr>
              <w:t>20</w:t>
            </w:r>
            <w:r>
              <w:rPr>
                <w:rFonts w:ascii="Times New Roman" w:hAnsi="Times New Roman" w:eastAsia="宋体" w:cs="Times New Roman"/>
                <w:color w:val="000000"/>
                <w:szCs w:val="21"/>
              </w:rPr>
              <w:t>）</w:t>
            </w:r>
            <w:r>
              <w:rPr>
                <w:rFonts w:ascii="Times New Roman" w:hAnsi="Times New Roman" w:eastAsia="宋体" w:cs="Times New Roman"/>
                <w:b/>
                <w:bCs/>
                <w:color w:val="000000"/>
                <w:kern w:val="0"/>
                <w:szCs w:val="21"/>
                <w:lang w:bidi="ar"/>
              </w:rPr>
              <w:t xml:space="preserve"> </w:t>
            </w:r>
            <w:r>
              <w:rPr>
                <w:rStyle w:val="16"/>
                <w:rFonts w:hint="default" w:ascii="Times New Roman" w:hAnsi="Times New Roman" w:cs="Times New Roman"/>
                <w:b/>
                <w:bCs/>
                <w:sz w:val="21"/>
                <w:szCs w:val="21"/>
                <w:lang w:bidi="ar"/>
              </w:rPr>
              <w:t xml:space="preserve">                 </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1.4657</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11</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1.4654</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2</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1.4654</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12</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1.4656</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3</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1.4653</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13</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1.4652</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4</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1.4652</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1.4655</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5</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1.4661</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15</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1.4603</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6</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1.4654</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16</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1.4672</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7</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1.4652</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17</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1.4731</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8</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1.4655</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b/>
                <w:bCs/>
                <w:color w:val="000000"/>
                <w:kern w:val="0"/>
                <w:szCs w:val="21"/>
                <w:lang w:bidi="ar"/>
              </w:rPr>
              <w:t>最大值</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1.4731</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9</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1.4654</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b/>
                <w:bCs/>
                <w:color w:val="000000"/>
                <w:kern w:val="0"/>
                <w:szCs w:val="21"/>
                <w:lang w:bidi="ar"/>
              </w:rPr>
              <w:t>最小值</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kern w:val="0"/>
                <w:szCs w:val="21"/>
                <w:lang w:bidi="ar"/>
              </w:rPr>
            </w:pPr>
            <w:r>
              <w:rPr>
                <w:rFonts w:ascii="Times New Roman" w:hAnsi="Times New Roman" w:eastAsia="宋体" w:cs="Times New Roman"/>
                <w:color w:val="000000"/>
                <w:kern w:val="0"/>
                <w:szCs w:val="21"/>
                <w:lang w:bidi="ar"/>
              </w:rPr>
              <w:t>1.4603</w:t>
            </w:r>
          </w:p>
        </w:tc>
      </w:tr>
      <w:tr>
        <w:tblPrEx>
          <w:tblCellMar>
            <w:top w:w="0" w:type="dxa"/>
            <w:left w:w="108" w:type="dxa"/>
            <w:bottom w:w="0" w:type="dxa"/>
            <w:right w:w="108" w:type="dxa"/>
          </w:tblCellMar>
        </w:tblPrEx>
        <w:trPr>
          <w:trHeight w:val="280" w:hRule="atLeast"/>
          <w:jc w:val="center"/>
        </w:trPr>
        <w:tc>
          <w:tcPr>
            <w:tcW w:w="880"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10</w:t>
            </w:r>
          </w:p>
        </w:tc>
        <w:tc>
          <w:tcPr>
            <w:tcW w:w="166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1.4652</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b/>
                <w:bCs/>
                <w:color w:val="000000"/>
                <w:kern w:val="0"/>
                <w:szCs w:val="21"/>
                <w:lang w:bidi="ar"/>
              </w:rPr>
              <w:t>平均值</w:t>
            </w:r>
          </w:p>
        </w:tc>
        <w:tc>
          <w:tcPr>
            <w:tcW w:w="1664"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lang w:bidi="ar"/>
              </w:rPr>
              <w:t xml:space="preserve">1.4657 </w:t>
            </w:r>
          </w:p>
        </w:tc>
      </w:tr>
    </w:tbl>
    <w:p>
      <w:pPr>
        <w:spacing w:line="360" w:lineRule="auto"/>
        <w:jc w:val="center"/>
        <w:rPr>
          <w:rFonts w:ascii="Times New Roman" w:hAnsi="Times New Roman" w:eastAsia="宋体" w:cs="Times New Roman"/>
          <w:b/>
          <w:bCs/>
          <w:sz w:val="24"/>
        </w:rPr>
      </w:pPr>
    </w:p>
    <w:p>
      <w:pPr>
        <w:spacing w:line="360" w:lineRule="auto"/>
        <w:jc w:val="center"/>
        <w:rPr>
          <w:rFonts w:ascii="Times New Roman" w:hAnsi="Times New Roman" w:eastAsia="宋体" w:cs="Times New Roman"/>
          <w:bCs/>
        </w:rPr>
      </w:pPr>
      <w:r>
        <w:rPr>
          <w:rFonts w:ascii="Times New Roman" w:hAnsi="Times New Roman" w:eastAsia="宋体" w:cs="Times New Roman"/>
          <w:bCs/>
        </w:rPr>
        <w:t xml:space="preserve">表2  </w:t>
      </w:r>
      <w:r>
        <w:rPr>
          <w:rFonts w:ascii="Times New Roman" w:hAnsi="Times New Roman" w:eastAsia="宋体" w:cs="Times New Roman"/>
          <w:bCs/>
          <w:color w:val="000000"/>
        </w:rPr>
        <w:t>用于煎炸的大豆油的主要脂肪酸组成（%）</w:t>
      </w:r>
    </w:p>
    <w:tbl>
      <w:tblPr>
        <w:tblStyle w:val="6"/>
        <w:tblpPr w:leftFromText="180" w:rightFromText="180" w:vertAnchor="text" w:horzAnchor="margin" w:tblpXSpec="center" w:tblpY="332"/>
        <w:tblW w:w="10739" w:type="dxa"/>
        <w:tblInd w:w="0" w:type="dxa"/>
        <w:tblLayout w:type="fixed"/>
        <w:tblCellMar>
          <w:top w:w="0" w:type="dxa"/>
          <w:left w:w="108" w:type="dxa"/>
          <w:bottom w:w="0" w:type="dxa"/>
          <w:right w:w="108" w:type="dxa"/>
        </w:tblCellMar>
      </w:tblPr>
      <w:tblGrid>
        <w:gridCol w:w="817"/>
        <w:gridCol w:w="851"/>
        <w:gridCol w:w="850"/>
        <w:gridCol w:w="820"/>
        <w:gridCol w:w="940"/>
        <w:gridCol w:w="960"/>
        <w:gridCol w:w="960"/>
        <w:gridCol w:w="856"/>
        <w:gridCol w:w="992"/>
        <w:gridCol w:w="993"/>
        <w:gridCol w:w="850"/>
        <w:gridCol w:w="850"/>
      </w:tblGrid>
      <w:tr>
        <w:tblPrEx>
          <w:tblCellMar>
            <w:top w:w="0" w:type="dxa"/>
            <w:left w:w="108" w:type="dxa"/>
            <w:bottom w:w="0" w:type="dxa"/>
            <w:right w:w="108" w:type="dxa"/>
          </w:tblCellMar>
        </w:tblPrEx>
        <w:trPr>
          <w:trHeight w:val="52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序号</w:t>
            </w:r>
          </w:p>
        </w:tc>
        <w:tc>
          <w:tcPr>
            <w:tcW w:w="85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kern w:val="0"/>
                <w:sz w:val="15"/>
                <w:szCs w:val="15"/>
                <w:lang w:bidi="ar"/>
              </w:rPr>
            </w:pPr>
            <w:r>
              <w:rPr>
                <w:rFonts w:ascii="Times New Roman" w:hAnsi="Times New Roman" w:eastAsia="宋体" w:cs="Times New Roman"/>
                <w:b/>
                <w:bCs/>
                <w:color w:val="000000"/>
                <w:kern w:val="0"/>
                <w:sz w:val="15"/>
                <w:szCs w:val="15"/>
                <w:lang w:bidi="ar"/>
              </w:rPr>
              <w:t>棕榈酸</w:t>
            </w:r>
          </w:p>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(C16:0)</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kern w:val="0"/>
                <w:sz w:val="15"/>
                <w:szCs w:val="15"/>
                <w:lang w:bidi="ar"/>
              </w:rPr>
            </w:pPr>
            <w:r>
              <w:rPr>
                <w:rFonts w:ascii="Times New Roman" w:hAnsi="Times New Roman" w:eastAsia="宋体" w:cs="Times New Roman"/>
                <w:b/>
                <w:bCs/>
                <w:color w:val="000000"/>
                <w:kern w:val="0"/>
                <w:sz w:val="15"/>
                <w:szCs w:val="15"/>
                <w:lang w:bidi="ar"/>
              </w:rPr>
              <w:t>棕榈油酸(C16:1)</w:t>
            </w:r>
          </w:p>
        </w:tc>
        <w:tc>
          <w:tcPr>
            <w:tcW w:w="82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硬脂酸(C18:0)</w:t>
            </w:r>
          </w:p>
        </w:tc>
        <w:tc>
          <w:tcPr>
            <w:tcW w:w="94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油酸(C18:1)</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亚油酸(C18:2)</w:t>
            </w:r>
          </w:p>
        </w:tc>
        <w:tc>
          <w:tcPr>
            <w:tcW w:w="96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亚麻酸(C18:3)</w:t>
            </w:r>
          </w:p>
        </w:tc>
        <w:tc>
          <w:tcPr>
            <w:tcW w:w="85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kern w:val="0"/>
                <w:sz w:val="15"/>
                <w:szCs w:val="15"/>
                <w:lang w:bidi="ar"/>
              </w:rPr>
            </w:pPr>
            <w:r>
              <w:rPr>
                <w:rFonts w:ascii="Times New Roman" w:hAnsi="Times New Roman" w:eastAsia="宋体" w:cs="Times New Roman"/>
                <w:b/>
                <w:sz w:val="15"/>
                <w:szCs w:val="15"/>
              </w:rPr>
              <w:t>花生酸（C20:0）</w:t>
            </w:r>
          </w:p>
        </w:tc>
        <w:tc>
          <w:tcPr>
            <w:tcW w:w="99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kern w:val="0"/>
                <w:sz w:val="15"/>
                <w:szCs w:val="15"/>
                <w:lang w:bidi="ar"/>
              </w:rPr>
            </w:pPr>
            <w:r>
              <w:rPr>
                <w:rFonts w:ascii="Times New Roman" w:hAnsi="Times New Roman" w:eastAsia="宋体" w:cs="Times New Roman"/>
                <w:b/>
                <w:sz w:val="15"/>
                <w:szCs w:val="15"/>
              </w:rPr>
              <w:t>花生一烯酸（ C20:1）</w:t>
            </w:r>
          </w:p>
        </w:tc>
        <w:tc>
          <w:tcPr>
            <w:tcW w:w="99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山嵛酸(C22:0)</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sz w:val="15"/>
                <w:szCs w:val="15"/>
              </w:rPr>
            </w:pPr>
            <w:r>
              <w:rPr>
                <w:rFonts w:ascii="Times New Roman" w:hAnsi="Times New Roman" w:eastAsia="宋体" w:cs="Times New Roman"/>
                <w:b/>
                <w:bCs/>
                <w:color w:val="000000"/>
                <w:kern w:val="0"/>
                <w:sz w:val="15"/>
                <w:szCs w:val="15"/>
                <w:lang w:bidi="ar"/>
              </w:rPr>
              <w:t>芥酸(C22:1)</w:t>
            </w:r>
          </w:p>
        </w:tc>
        <w:tc>
          <w:tcPr>
            <w:tcW w:w="85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Times New Roman" w:hAnsi="Times New Roman" w:eastAsia="宋体" w:cs="Times New Roman"/>
                <w:b/>
                <w:bCs/>
                <w:color w:val="000000"/>
                <w:kern w:val="0"/>
                <w:sz w:val="15"/>
                <w:szCs w:val="15"/>
                <w:lang w:bidi="ar"/>
              </w:rPr>
            </w:pPr>
            <w:r>
              <w:rPr>
                <w:rFonts w:ascii="Times New Roman" w:hAnsi="Times New Roman" w:eastAsia="宋体" w:cs="Times New Roman"/>
                <w:b/>
                <w:bCs/>
                <w:color w:val="000000"/>
                <w:kern w:val="0"/>
                <w:sz w:val="15"/>
                <w:szCs w:val="15"/>
                <w:lang w:bidi="ar"/>
              </w:rPr>
              <w:t>木焦油酸（C24:0）</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0.12</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4.04</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25.93</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51.71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5.09</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0.42</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2</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11.98</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0.09</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4.32</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26.13</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49.89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5.34</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0.34</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0.02</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3</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12.01</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0.15</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4.07</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24.78</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49.05</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6.67</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0.45</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0.61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4</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11.32</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0.07</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4.04</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25.01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51.02</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6.01</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0.55</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0.67</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5</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12.06</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0.08</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4.07</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25.31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51.79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5.03</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0.49</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0.53</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6</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11.78</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0.07</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4.11</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25.67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49.98</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6.87</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7</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10.96</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0.13</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4.01</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25.51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52.08</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5.02</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0.68</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8</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12.67</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0.16</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3.91</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25.62</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50.09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5.98</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0.52</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9</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10.98</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0.15</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4.07</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25.81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51.03</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4.03</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0.52</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0.22</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0.37</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0.16</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10</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10.02</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0.15</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4.04</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23.91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54.09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6.09</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0.41</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11</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11.05</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0.12</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3.07</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24.01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53.95</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5.76</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0.39</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0.22</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0.59</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12</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12.99</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0.13</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4.01</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22.04</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54.56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4.64</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0.55</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0.58</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0.16</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13</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0.12</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4.02</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25.81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50.09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6.98</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0.49</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0.21</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0.61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14</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11.85</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0.13</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4.05</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24.67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52.87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4.34</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0.49</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0.16</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15</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10.67</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0.14</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4.01</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24.99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51.91</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6.31</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0.21</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16</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12.94</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0.15</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4.07</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22.02</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53.07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5.87</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0.53</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0.22</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0.56</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Times New Roman" w:hAnsi="Times New Roman" w:eastAsia="宋体" w:cs="Times New Roman"/>
                <w:color w:val="000000"/>
                <w:sz w:val="15"/>
                <w:szCs w:val="15"/>
              </w:rPr>
            </w:pPr>
            <w:r>
              <w:rPr>
                <w:rFonts w:ascii="Times New Roman" w:hAnsi="Times New Roman" w:eastAsia="宋体" w:cs="Times New Roman"/>
                <w:color w:val="000000"/>
                <w:kern w:val="0"/>
                <w:sz w:val="15"/>
                <w:szCs w:val="15"/>
                <w:lang w:bidi="ar"/>
              </w:rPr>
              <w:t>17</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10.42</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0.12</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4.02</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25.96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52.99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4.64</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0.45</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0.21</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0.61</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0.18</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最大值</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12.99</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0.16</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4.32</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26.13</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54.56</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6.98</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0.55</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0.22</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0.68</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最小值</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10.02</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0.07</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3.07</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22.02</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49.05</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4.03</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0.39</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0.34</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0.02</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0.16</w:t>
            </w:r>
          </w:p>
        </w:tc>
      </w:tr>
      <w:tr>
        <w:tblPrEx>
          <w:tblCellMar>
            <w:top w:w="0" w:type="dxa"/>
            <w:left w:w="108" w:type="dxa"/>
            <w:bottom w:w="0" w:type="dxa"/>
            <w:right w:w="108" w:type="dxa"/>
          </w:tblCellMar>
        </w:tblPrEx>
        <w:trPr>
          <w:trHeight w:val="280" w:hRule="atLeast"/>
        </w:trPr>
        <w:tc>
          <w:tcPr>
            <w:tcW w:w="817"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平均值</w:t>
            </w:r>
          </w:p>
        </w:tc>
        <w:tc>
          <w:tcPr>
            <w:tcW w:w="851"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11.46</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0.12</w:t>
            </w:r>
          </w:p>
        </w:tc>
        <w:tc>
          <w:tcPr>
            <w:tcW w:w="82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3.99</w:t>
            </w:r>
          </w:p>
        </w:tc>
        <w:tc>
          <w:tcPr>
            <w:tcW w:w="94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24.89</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51.77</w:t>
            </w:r>
          </w:p>
        </w:tc>
        <w:tc>
          <w:tcPr>
            <w:tcW w:w="96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5.57</w:t>
            </w:r>
          </w:p>
        </w:tc>
        <w:tc>
          <w:tcPr>
            <w:tcW w:w="856"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0.48</w:t>
            </w:r>
          </w:p>
        </w:tc>
        <w:tc>
          <w:tcPr>
            <w:tcW w:w="992"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0.19</w:t>
            </w:r>
          </w:p>
        </w:tc>
        <w:tc>
          <w:tcPr>
            <w:tcW w:w="9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0.54</w:t>
            </w:r>
          </w:p>
        </w:tc>
        <w:tc>
          <w:tcPr>
            <w:tcW w:w="850"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0.03</w:t>
            </w:r>
          </w:p>
        </w:tc>
        <w:tc>
          <w:tcPr>
            <w:tcW w:w="850" w:type="dxa"/>
            <w:tcBorders>
              <w:top w:val="single" w:color="000000" w:sz="4" w:space="0"/>
              <w:left w:val="single" w:color="000000" w:sz="4" w:space="0"/>
              <w:bottom w:val="single" w:color="000000" w:sz="4" w:space="0"/>
              <w:right w:val="single" w:color="000000" w:sz="4" w:space="0"/>
            </w:tcBorders>
            <w:vAlign w:val="center"/>
          </w:tcPr>
          <w:p>
            <w:pPr>
              <w:jc w:val="center"/>
              <w:rPr>
                <w:rFonts w:ascii="Times New Roman" w:hAnsi="Times New Roman" w:eastAsia="宋体" w:cs="Times New Roman"/>
                <w:sz w:val="15"/>
                <w:szCs w:val="15"/>
              </w:rPr>
            </w:pPr>
            <w:r>
              <w:rPr>
                <w:rFonts w:ascii="Times New Roman" w:hAnsi="Times New Roman" w:eastAsia="宋体" w:cs="Times New Roman"/>
                <w:sz w:val="15"/>
                <w:szCs w:val="15"/>
              </w:rPr>
              <w:t>0.17</w:t>
            </w:r>
          </w:p>
        </w:tc>
      </w:tr>
    </w:tbl>
    <w:p>
      <w:pPr>
        <w:snapToGrid w:val="0"/>
        <w:spacing w:line="360" w:lineRule="auto"/>
        <w:rPr>
          <w:rFonts w:ascii="Times New Roman" w:hAnsi="Times New Roman" w:eastAsia="宋体" w:cs="Times New Roman"/>
          <w:color w:val="000000"/>
        </w:rPr>
      </w:pPr>
    </w:p>
    <w:p>
      <w:pPr>
        <w:snapToGrid w:val="0"/>
        <w:spacing w:line="360" w:lineRule="auto"/>
        <w:ind w:firstLine="480" w:firstLineChars="200"/>
        <w:rPr>
          <w:rFonts w:ascii="Times New Roman" w:hAnsi="Times New Roman" w:eastAsia="宋体" w:cs="Times New Roman"/>
          <w:color w:val="000000"/>
          <w:kern w:val="0"/>
          <w:sz w:val="24"/>
        </w:rPr>
      </w:pPr>
      <w:r>
        <w:rPr>
          <w:rFonts w:ascii="Times New Roman" w:hAnsi="Times New Roman" w:eastAsia="宋体" w:cs="Times New Roman"/>
          <w:color w:val="000000"/>
          <w:sz w:val="24"/>
        </w:rPr>
        <w:t>标准起草小组根据基本参数和脂肪酸组成进行检测、汇总结果，确定</w:t>
      </w:r>
      <w:r>
        <w:rPr>
          <w:rFonts w:ascii="Times New Roman" w:hAnsi="Times New Roman" w:eastAsia="宋体" w:cs="Times New Roman"/>
          <w:color w:val="000000"/>
          <w:kern w:val="0"/>
          <w:sz w:val="24"/>
        </w:rPr>
        <w:t>大豆油基煎炸油的基本参数见表3。</w:t>
      </w:r>
    </w:p>
    <w:p>
      <w:pPr>
        <w:pStyle w:val="15"/>
        <w:tabs>
          <w:tab w:val="center" w:pos="4592"/>
          <w:tab w:val="left" w:pos="8316"/>
        </w:tabs>
        <w:spacing w:before="156" w:beforeLines="50" w:after="156" w:afterLines="50"/>
        <w:rPr>
          <w:rFonts w:hint="default" w:ascii="Times New Roman" w:eastAsia="宋体"/>
          <w:color w:val="000000"/>
          <w:szCs w:val="24"/>
        </w:rPr>
      </w:pPr>
      <w:r>
        <w:rPr>
          <w:rFonts w:hint="default" w:ascii="Times New Roman" w:eastAsia="宋体"/>
          <w:color w:val="000000"/>
          <w:szCs w:val="24"/>
        </w:rPr>
        <w:t>表3 《大豆油基煎炸油》的基本参数</w:t>
      </w:r>
    </w:p>
    <w:tbl>
      <w:tblPr>
        <w:tblStyle w:val="6"/>
        <w:tblpPr w:leftFromText="180" w:rightFromText="180" w:vertAnchor="text" w:horzAnchor="page" w:tblpX="1707" w:tblpY="202"/>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9"/>
        <w:gridCol w:w="3405"/>
        <w:gridCol w:w="2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3264" w:type="pct"/>
            <w:gridSpan w:val="2"/>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项   目</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3264" w:type="pct"/>
            <w:gridSpan w:val="2"/>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相对密度（d</w:t>
            </w: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eq \o(\s\up 4(</w:instrText>
            </w:r>
            <w:r>
              <w:rPr>
                <w:rFonts w:ascii="Times New Roman" w:hAnsi="Times New Roman" w:eastAsia="宋体" w:cs="Times New Roman"/>
                <w:sz w:val="8"/>
                <w:szCs w:val="18"/>
              </w:rPr>
              <w:instrText xml:space="preserve">20</w:instrText>
            </w:r>
            <w:r>
              <w:rPr>
                <w:rFonts w:ascii="Times New Roman" w:hAnsi="Times New Roman" w:eastAsia="宋体" w:cs="Times New Roman"/>
                <w:sz w:val="18"/>
                <w:szCs w:val="18"/>
              </w:rPr>
              <w:instrText xml:space="preserve">),\s\do 2(</w:instrText>
            </w:r>
            <w:r>
              <w:rPr>
                <w:rFonts w:ascii="Times New Roman" w:hAnsi="Times New Roman" w:eastAsia="宋体" w:cs="Times New Roman"/>
                <w:sz w:val="8"/>
                <w:szCs w:val="18"/>
              </w:rPr>
              <w:instrText xml:space="preserve">20</w:instrText>
            </w:r>
            <w:r>
              <w:rPr>
                <w:rFonts w:ascii="Times New Roman" w:hAnsi="Times New Roman" w:eastAsia="宋体" w:cs="Times New Roman"/>
                <w:sz w:val="18"/>
                <w:szCs w:val="18"/>
              </w:rPr>
              <w:instrText xml:space="preserve">))</w:instrText>
            </w:r>
            <w:r>
              <w:rPr>
                <w:rFonts w:ascii="Times New Roman" w:hAnsi="Times New Roman" w:eastAsia="宋体" w:cs="Times New Roman"/>
                <w:sz w:val="18"/>
                <w:szCs w:val="18"/>
              </w:rPr>
              <w:fldChar w:fldCharType="end"/>
            </w:r>
            <w:r>
              <w:rPr>
                <w:rFonts w:ascii="Times New Roman" w:hAnsi="Times New Roman" w:eastAsia="宋体" w:cs="Times New Roman"/>
                <w:sz w:val="18"/>
                <w:szCs w:val="18"/>
              </w:rPr>
              <w:t>）</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0.919～0.925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67" w:type="pct"/>
            <w:vMerge w:val="restar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脂肪酸组成/%</w:t>
            </w: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月桂酸（C12:0）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67" w:type="pct"/>
            <w:vMerge w:val="continue"/>
            <w:vAlign w:val="center"/>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豆蔻酸（ C14:0）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67" w:type="pct"/>
            <w:vMerge w:val="continue"/>
            <w:vAlign w:val="center"/>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棕榈酸（C16:0）</w:t>
            </w:r>
          </w:p>
        </w:tc>
        <w:tc>
          <w:tcPr>
            <w:tcW w:w="1736" w:type="pct"/>
            <w:vAlign w:val="center"/>
          </w:tcPr>
          <w:p>
            <w:pPr>
              <w:jc w:val="center"/>
              <w:rPr>
                <w:rFonts w:ascii="Times New Roman" w:hAnsi="Times New Roman" w:eastAsia="宋体" w:cs="Times New Roman"/>
                <w:color w:val="FF0000"/>
                <w:sz w:val="18"/>
                <w:szCs w:val="18"/>
              </w:rPr>
            </w:pPr>
            <w:r>
              <w:rPr>
                <w:rFonts w:ascii="Times New Roman" w:hAnsi="Times New Roman" w:eastAsia="宋体" w:cs="Times New Roman"/>
                <w:sz w:val="18"/>
                <w:szCs w:val="18"/>
              </w:rPr>
              <w:t>8.0～13.5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67" w:type="pct"/>
            <w:vMerge w:val="continue"/>
            <w:vAlign w:val="center"/>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棕榈油酸（C16:1）                ≤</w:t>
            </w:r>
          </w:p>
        </w:tc>
        <w:tc>
          <w:tcPr>
            <w:tcW w:w="1736" w:type="pct"/>
            <w:vAlign w:val="center"/>
          </w:tcPr>
          <w:p>
            <w:pPr>
              <w:jc w:val="center"/>
              <w:rPr>
                <w:rFonts w:ascii="Times New Roman" w:hAnsi="Times New Roman" w:eastAsia="宋体" w:cs="Times New Roman"/>
                <w:color w:val="FF0000"/>
                <w:sz w:val="18"/>
                <w:szCs w:val="18"/>
              </w:rPr>
            </w:pPr>
            <w:r>
              <w:rPr>
                <w:rFonts w:ascii="Times New Roman" w:hAnsi="Times New Roman" w:eastAsia="宋体" w:cs="Times New Roman"/>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67" w:type="pct"/>
            <w:vMerge w:val="continue"/>
            <w:vAlign w:val="center"/>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十七烷酸（ C17:0）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 w:hRule="atLeast"/>
        </w:trPr>
        <w:tc>
          <w:tcPr>
            <w:tcW w:w="1267" w:type="pct"/>
            <w:vMerge w:val="continue"/>
            <w:vAlign w:val="center"/>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十七烷一烯酸（ C17:1）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硬脂酸（C18:0)</w:t>
            </w:r>
          </w:p>
        </w:tc>
        <w:tc>
          <w:tcPr>
            <w:tcW w:w="1736" w:type="pct"/>
            <w:vAlign w:val="center"/>
          </w:tcPr>
          <w:p>
            <w:pPr>
              <w:jc w:val="center"/>
              <w:rPr>
                <w:rFonts w:ascii="Times New Roman" w:hAnsi="Times New Roman" w:eastAsia="宋体" w:cs="Times New Roman"/>
                <w:color w:val="FF0000"/>
                <w:sz w:val="18"/>
                <w:szCs w:val="18"/>
              </w:rPr>
            </w:pPr>
            <w:r>
              <w:rPr>
                <w:rFonts w:ascii="Times New Roman" w:hAnsi="Times New Roman" w:eastAsia="宋体" w:cs="Times New Roman"/>
                <w:sz w:val="18"/>
                <w:szCs w:val="18"/>
              </w:rPr>
              <w:t>2.0～5.4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油酸（C18:1)</w:t>
            </w:r>
          </w:p>
        </w:tc>
        <w:tc>
          <w:tcPr>
            <w:tcW w:w="1736" w:type="pct"/>
            <w:vAlign w:val="center"/>
          </w:tcPr>
          <w:p>
            <w:pPr>
              <w:jc w:val="center"/>
              <w:rPr>
                <w:rFonts w:ascii="Times New Roman" w:hAnsi="Times New Roman" w:eastAsia="宋体" w:cs="Times New Roman"/>
                <w:color w:val="FF0000"/>
                <w:sz w:val="18"/>
                <w:szCs w:val="18"/>
              </w:rPr>
            </w:pPr>
            <w:r>
              <w:rPr>
                <w:rFonts w:ascii="Times New Roman" w:hAnsi="Times New Roman" w:eastAsia="宋体" w:cs="Times New Roman"/>
                <w:sz w:val="18"/>
                <w:szCs w:val="18"/>
              </w:rPr>
              <w:t>17.0～30.0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亚油酸（C18:2)</w:t>
            </w:r>
          </w:p>
        </w:tc>
        <w:tc>
          <w:tcPr>
            <w:tcW w:w="1736" w:type="pct"/>
            <w:vAlign w:val="center"/>
          </w:tcPr>
          <w:p>
            <w:pPr>
              <w:jc w:val="center"/>
              <w:rPr>
                <w:rFonts w:ascii="Times New Roman" w:hAnsi="Times New Roman" w:eastAsia="宋体" w:cs="Times New Roman"/>
                <w:color w:val="FF0000"/>
                <w:sz w:val="18"/>
                <w:szCs w:val="18"/>
              </w:rPr>
            </w:pPr>
            <w:r>
              <w:rPr>
                <w:rFonts w:ascii="Times New Roman" w:hAnsi="Times New Roman" w:eastAsia="宋体" w:cs="Times New Roman"/>
                <w:sz w:val="18"/>
                <w:szCs w:val="18"/>
              </w:rPr>
              <w:t>48.0～59.0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亚麻酸（C18:3)</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4.2～11.0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花生酸（C20:0）</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花生一烯酸（ C20:1）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花生二烯酸（ C20:2）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山嵛酸（C22:0）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芥酸（C22:1）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267" w:type="pct"/>
            <w:vMerge w:val="continue"/>
          </w:tcPr>
          <w:p>
            <w:pPr>
              <w:rPr>
                <w:rFonts w:ascii="Times New Roman" w:hAnsi="Times New Roman" w:eastAsia="宋体" w:cs="Times New Roman"/>
                <w:sz w:val="18"/>
                <w:szCs w:val="18"/>
              </w:rPr>
            </w:pPr>
          </w:p>
        </w:tc>
        <w:tc>
          <w:tcPr>
            <w:tcW w:w="1998"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木焦油酸（C24:0）                ≤</w:t>
            </w:r>
          </w:p>
        </w:tc>
        <w:tc>
          <w:tcPr>
            <w:tcW w:w="1736"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0.5</w:t>
            </w:r>
          </w:p>
        </w:tc>
      </w:tr>
    </w:tbl>
    <w:p>
      <w:pPr>
        <w:pStyle w:val="15"/>
        <w:tabs>
          <w:tab w:val="center" w:pos="4592"/>
          <w:tab w:val="left" w:pos="8316"/>
        </w:tabs>
        <w:spacing w:before="156" w:beforeLines="50" w:after="156" w:afterLines="50"/>
        <w:ind w:firstLine="482" w:firstLineChars="200"/>
        <w:jc w:val="both"/>
        <w:rPr>
          <w:rFonts w:hint="default" w:ascii="Times New Roman" w:eastAsia="宋体"/>
          <w:b/>
          <w:bCs/>
          <w:color w:val="000000"/>
          <w:sz w:val="24"/>
        </w:rPr>
      </w:pPr>
      <w:r>
        <w:rPr>
          <w:rFonts w:hint="default" w:ascii="Times New Roman" w:eastAsia="宋体"/>
          <w:b/>
          <w:bCs/>
          <w:color w:val="000000"/>
          <w:kern w:val="2"/>
          <w:sz w:val="24"/>
          <w:szCs w:val="24"/>
        </w:rPr>
        <w:t xml:space="preserve">2.2.2 </w:t>
      </w:r>
      <w:r>
        <w:rPr>
          <w:rFonts w:hint="default" w:ascii="Times New Roman" w:eastAsia="宋体"/>
          <w:b/>
          <w:bCs/>
          <w:color w:val="000000"/>
          <w:sz w:val="24"/>
        </w:rPr>
        <w:t>质量指标确定</w:t>
      </w:r>
    </w:p>
    <w:p>
      <w:pPr>
        <w:snapToGrid w:val="0"/>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质量指标中项目的设定共设置11个项目，其中10个项目参考《食品安全国家标准  植物油》（GB 2716-2018）、《大豆油》（GB/T 1535-2017）指标，即：色泽、透明度、气味和滋味、水分及挥发物、不溶性杂质、酸价、过氧化值、加热试验（280℃）、冷冻实验和溶剂残留。</w:t>
      </w:r>
    </w:p>
    <w:p>
      <w:pPr>
        <w:pStyle w:val="13"/>
        <w:spacing w:line="360" w:lineRule="auto"/>
        <w:ind w:firstLine="480"/>
        <w:rPr>
          <w:rFonts w:ascii="Times New Roman" w:hAnsi="Times New Roman"/>
          <w:color w:val="000000"/>
          <w:sz w:val="24"/>
        </w:rPr>
      </w:pPr>
      <w:r>
        <w:rPr>
          <w:rFonts w:ascii="Times New Roman" w:hAnsi="Times New Roman"/>
          <w:color w:val="000000"/>
          <w:sz w:val="24"/>
        </w:rPr>
        <w:t>作为一个产品团体标准，结合大豆油基煎炸用油特点和市场油脂供应情况，既要考虑指标范围适度放宽，体现标准的适用性，同时也要满足食用安全。因此，将烟点由≥190℃调整至≥210℃。</w:t>
      </w:r>
    </w:p>
    <w:p>
      <w:pPr>
        <w:pStyle w:val="13"/>
        <w:ind w:firstLine="420"/>
        <w:jc w:val="center"/>
        <w:rPr>
          <w:rFonts w:ascii="Times New Roman" w:hAnsi="Times New Roman"/>
          <w:bCs/>
          <w:color w:val="000000"/>
          <w:sz w:val="21"/>
          <w:szCs w:val="24"/>
        </w:rPr>
      </w:pPr>
      <w:r>
        <w:rPr>
          <w:rFonts w:ascii="Times New Roman" w:hAnsi="Times New Roman"/>
          <w:bCs/>
          <w:color w:val="000000"/>
          <w:sz w:val="21"/>
          <w:szCs w:val="24"/>
        </w:rPr>
        <w:t>表4  大豆油基煎炸油的质量指标</w:t>
      </w:r>
    </w:p>
    <w:tbl>
      <w:tblPr>
        <w:tblStyle w:val="6"/>
        <w:tblpPr w:leftFromText="180" w:rightFromText="180" w:vertAnchor="text" w:horzAnchor="page" w:tblpX="1757" w:tblpY="176"/>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3"/>
        <w:gridCol w:w="4622"/>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Pr>
        <w:tc>
          <w:tcPr>
            <w:tcW w:w="2284"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项   目</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色泽</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黄色至棕红色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透明度（20℃）</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澄清、透明液体，无悬浮颗粒、乳浑浊和肉眼可见杂质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6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滋味和气味</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具有大豆油固有气味和滋味，无异味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水分及挥发物/%</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不溶性杂质含量/%</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酸价（KOH）/（mg/g）                  ≤</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过氧化值/(mmol/kg)                      ≤</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加热实验（280℃）</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无析出物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烟点/℃                                 ≥</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5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冷冻实验（0℃储藏5.5h）</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澄清、透明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392" w:hRule="atLeast"/>
        </w:trPr>
        <w:tc>
          <w:tcPr>
            <w:tcW w:w="2284" w:type="pct"/>
            <w:vAlign w:val="center"/>
          </w:tcPr>
          <w:p>
            <w:pPr>
              <w:rPr>
                <w:rFonts w:ascii="Times New Roman" w:hAnsi="Times New Roman" w:eastAsia="宋体" w:cs="Times New Roman"/>
                <w:sz w:val="18"/>
                <w:szCs w:val="18"/>
              </w:rPr>
            </w:pPr>
            <w:r>
              <w:rPr>
                <w:rFonts w:ascii="Times New Roman" w:hAnsi="Times New Roman" w:eastAsia="宋体" w:cs="Times New Roman"/>
                <w:sz w:val="18"/>
                <w:szCs w:val="18"/>
              </w:rPr>
              <w:t>溶剂残留/（mg/kg）</w:t>
            </w:r>
          </w:p>
        </w:tc>
        <w:tc>
          <w:tcPr>
            <w:tcW w:w="2712" w:type="pct"/>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不得检出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00" w:type="pct"/>
            <w:gridSpan w:val="3"/>
            <w:vAlign w:val="center"/>
          </w:tcPr>
          <w:p>
            <w:pPr>
              <w:jc w:val="left"/>
              <w:rPr>
                <w:rFonts w:ascii="Times New Roman" w:hAnsi="Times New Roman" w:eastAsia="宋体" w:cs="Times New Roman"/>
                <w:sz w:val="18"/>
                <w:szCs w:val="18"/>
              </w:rPr>
            </w:pPr>
            <w:r>
              <w:rPr>
                <w:rFonts w:ascii="Times New Roman" w:hAnsi="Times New Roman" w:eastAsia="宋体" w:cs="Times New Roman"/>
                <w:sz w:val="18"/>
                <w:szCs w:val="18"/>
              </w:rPr>
              <w:t>注：溶剂残留量检出值小于10 mg/kg，视为未检出。</w:t>
            </w:r>
          </w:p>
        </w:tc>
      </w:tr>
    </w:tbl>
    <w:p>
      <w:pPr>
        <w:spacing w:line="360" w:lineRule="auto"/>
        <w:ind w:firstLine="480" w:firstLineChars="200"/>
        <w:rPr>
          <w:rFonts w:ascii="Times New Roman" w:hAnsi="Times New Roman" w:eastAsia="宋体" w:cs="Times New Roman"/>
          <w:b/>
          <w:color w:val="000000"/>
          <w:sz w:val="24"/>
        </w:rPr>
      </w:pPr>
      <w:r>
        <w:rPr>
          <w:rFonts w:ascii="Times New Roman" w:hAnsi="Times New Roman" w:eastAsia="宋体" w:cs="Times New Roman"/>
          <w:color w:val="000000"/>
          <w:sz w:val="24"/>
        </w:rPr>
        <w:t xml:space="preserve">2.2.3 </w:t>
      </w:r>
      <w:r>
        <w:rPr>
          <w:rFonts w:ascii="Times New Roman" w:hAnsi="Times New Roman" w:eastAsia="宋体" w:cs="Times New Roman"/>
          <w:b/>
          <w:color w:val="000000"/>
          <w:sz w:val="24"/>
        </w:rPr>
        <w:t>特征指标</w:t>
      </w:r>
    </w:p>
    <w:p>
      <w:pPr>
        <w:spacing w:line="360" w:lineRule="auto"/>
        <w:ind w:firstLine="480"/>
        <w:jc w:val="left"/>
        <w:rPr>
          <w:rFonts w:ascii="Times New Roman" w:hAnsi="Times New Roman" w:eastAsia="宋体" w:cs="Times New Roman"/>
          <w:color w:val="000000"/>
          <w:sz w:val="24"/>
        </w:rPr>
      </w:pPr>
      <w:r>
        <w:rPr>
          <w:rFonts w:ascii="Times New Roman" w:hAnsi="Times New Roman" w:eastAsia="宋体" w:cs="Times New Roman"/>
          <w:color w:val="000000"/>
          <w:sz w:val="24"/>
        </w:rPr>
        <w:t>大豆油基煎炸油特征指标共设2个项目，包括：维生素E（以α-生育酚当量计），聚甘油脂肪酸酯含量（以%计）。</w:t>
      </w:r>
    </w:p>
    <w:p>
      <w:pPr>
        <w:spacing w:line="360" w:lineRule="auto"/>
        <w:ind w:firstLine="480"/>
        <w:jc w:val="left"/>
        <w:rPr>
          <w:rFonts w:ascii="Times New Roman" w:hAnsi="Times New Roman" w:eastAsia="宋体" w:cs="Times New Roman"/>
          <w:color w:val="000000"/>
          <w:sz w:val="24"/>
        </w:rPr>
      </w:pPr>
      <w:r>
        <w:rPr>
          <w:rFonts w:ascii="Times New Roman" w:hAnsi="Times New Roman" w:eastAsia="宋体" w:cs="Times New Roman"/>
          <w:color w:val="000000"/>
          <w:sz w:val="24"/>
        </w:rPr>
        <w:t>标准起草小组针对大豆油中维生素E含量对煎炸性能的影响进行了系统研究，研究了不同初始维生素E含量对煎炸性能的影响规律，主要研究煎炸时间、理化指标及营养素指标的变化等，变化规律图下系列图所示：</w:t>
      </w:r>
    </w:p>
    <w:p>
      <w:pPr>
        <w:spacing w:line="360" w:lineRule="auto"/>
        <w:jc w:val="center"/>
        <w:rPr>
          <w:rFonts w:ascii="Times New Roman" w:hAnsi="Times New Roman" w:eastAsia="宋体" w:cs="Times New Roman"/>
        </w:rPr>
      </w:pPr>
      <w:r>
        <w:drawing>
          <wp:inline distT="0" distB="0" distL="0" distR="0">
            <wp:extent cx="4927600" cy="2776220"/>
            <wp:effectExtent l="0" t="0" r="6350" b="508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360" w:lineRule="auto"/>
        <w:jc w:val="center"/>
        <w:rPr>
          <w:rFonts w:ascii="Times New Roman" w:hAnsi="Times New Roman" w:eastAsia="宋体" w:cs="Times New Roman"/>
        </w:rPr>
      </w:pPr>
      <w:r>
        <w:rPr>
          <w:rFonts w:ascii="Times New Roman" w:hAnsi="Times New Roman" w:eastAsia="宋体" w:cs="Times New Roman"/>
        </w:rPr>
        <w:t>图1 α-生育酚当量与煎炸时间的关系</w:t>
      </w:r>
    </w:p>
    <w:p>
      <w:pPr>
        <w:spacing w:line="360" w:lineRule="auto"/>
        <w:jc w:val="center"/>
        <w:rPr>
          <w:rFonts w:ascii="Times New Roman" w:hAnsi="Times New Roman" w:eastAsia="宋体" w:cs="Times New Roman"/>
        </w:rPr>
      </w:pPr>
      <w:r>
        <w:drawing>
          <wp:inline distT="0" distB="0" distL="0" distR="0">
            <wp:extent cx="4638675" cy="278384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360" w:lineRule="auto"/>
        <w:jc w:val="center"/>
        <w:rPr>
          <w:rFonts w:ascii="Times New Roman" w:hAnsi="Times New Roman" w:eastAsia="宋体" w:cs="Times New Roman"/>
        </w:rPr>
      </w:pPr>
      <w:r>
        <w:rPr>
          <w:rFonts w:ascii="Times New Roman" w:hAnsi="Times New Roman" w:eastAsia="宋体" w:cs="Times New Roman"/>
        </w:rPr>
        <w:t>图2 α-生育酚当量与煎炸过程极性组分控制的关系</w:t>
      </w:r>
    </w:p>
    <w:p>
      <w:pPr>
        <w:spacing w:line="360" w:lineRule="auto"/>
        <w:jc w:val="center"/>
        <w:rPr>
          <w:rFonts w:ascii="Times New Roman" w:hAnsi="Times New Roman" w:eastAsia="宋体" w:cs="Times New Roman"/>
        </w:rPr>
      </w:pPr>
      <w:r>
        <w:drawing>
          <wp:inline distT="0" distB="0" distL="0" distR="0">
            <wp:extent cx="4885690" cy="278384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360" w:lineRule="auto"/>
        <w:jc w:val="center"/>
        <w:rPr>
          <w:rFonts w:ascii="Times New Roman" w:hAnsi="Times New Roman" w:eastAsia="宋体" w:cs="Times New Roman"/>
        </w:rPr>
      </w:pPr>
      <w:r>
        <w:rPr>
          <w:rFonts w:ascii="Times New Roman" w:hAnsi="Times New Roman" w:eastAsia="宋体" w:cs="Times New Roman"/>
        </w:rPr>
        <w:t>图3 α-生育酚当量与煎炸过程油脂酸价变化的关系</w:t>
      </w:r>
    </w:p>
    <w:p>
      <w:pPr>
        <w:spacing w:line="360" w:lineRule="auto"/>
        <w:jc w:val="center"/>
        <w:rPr>
          <w:rFonts w:ascii="Times New Roman" w:hAnsi="Times New Roman" w:eastAsia="宋体" w:cs="Times New Roman"/>
        </w:rPr>
      </w:pPr>
      <w:r>
        <w:drawing>
          <wp:inline distT="0" distB="0" distL="0" distR="0">
            <wp:extent cx="4973320" cy="27813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360" w:lineRule="auto"/>
        <w:jc w:val="center"/>
        <w:rPr>
          <w:rFonts w:ascii="Times New Roman" w:hAnsi="Times New Roman" w:eastAsia="宋体" w:cs="Times New Roman"/>
        </w:rPr>
      </w:pPr>
      <w:r>
        <w:rPr>
          <w:rFonts w:ascii="Times New Roman" w:hAnsi="Times New Roman" w:eastAsia="宋体" w:cs="Times New Roman"/>
        </w:rPr>
        <w:t>图4 α-生育酚当量与煎炸过程油脂茴香胺变化的关系</w:t>
      </w:r>
    </w:p>
    <w:p>
      <w:pPr>
        <w:spacing w:line="360" w:lineRule="auto"/>
        <w:jc w:val="center"/>
        <w:rPr>
          <w:rFonts w:ascii="Times New Roman" w:hAnsi="Times New Roman" w:eastAsia="宋体" w:cs="Times New Roman"/>
        </w:rPr>
      </w:pPr>
      <w:r>
        <w:drawing>
          <wp:inline distT="0" distB="0" distL="0" distR="0">
            <wp:extent cx="4804410" cy="2689860"/>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jc w:val="center"/>
        <w:rPr>
          <w:rFonts w:ascii="Times New Roman" w:hAnsi="Times New Roman" w:eastAsia="宋体" w:cs="Times New Roman"/>
        </w:rPr>
      </w:pPr>
      <w:r>
        <w:rPr>
          <w:rFonts w:ascii="Times New Roman" w:hAnsi="Times New Roman" w:eastAsia="宋体" w:cs="Times New Roman"/>
        </w:rPr>
        <w:t>图5 α-生育酚当量与煎炸过程损失量的关系</w:t>
      </w:r>
    </w:p>
    <w:p>
      <w:pPr>
        <w:spacing w:line="360" w:lineRule="auto"/>
        <w:ind w:firstLine="480" w:firstLineChars="200"/>
        <w:jc w:val="left"/>
        <w:rPr>
          <w:rFonts w:ascii="Times New Roman" w:hAnsi="Times New Roman" w:eastAsia="宋体" w:cs="Times New Roman"/>
          <w:color w:val="000000"/>
          <w:sz w:val="24"/>
        </w:rPr>
      </w:pPr>
      <w:r>
        <w:rPr>
          <w:rFonts w:ascii="Times New Roman" w:hAnsi="Times New Roman" w:eastAsia="宋体" w:cs="Times New Roman"/>
          <w:color w:val="000000"/>
          <w:sz w:val="24"/>
        </w:rPr>
        <w:t>总体来看，在初始维生素E含量在18mg/100g-22mg/100g范围内时，随着煎炸油维生素E的增加，煎炸时间延长，煎炸时间与维生素E含量呈极显著正相关（P＜0.05），随着维生素E含量继续增加时煎炸时间缩短，这是由于当 α-TOH 浓度较高时，大量 LOO·与 α- 生育酚反应，生成α-TO·，无法形成稳定的化合物，同时该自由基成为脂质氧化过程中的链传递剂，加快了脂质的自动氧化过程，可见控制煎炸油维生素E含量对保证产品的煎炸氧化稳定性具有重要意义。同时从初始维生素E含量的煎炸油煎炸过程中氧化指标（茴香胺、酸价及极性组分）和营养素指标（维生素E）的变化情况来看，为了控制煎炸过程中油脂的氧化，应将煎炸油维生素E含量控制在20-22mg/100g。同时，《大豆油基煎炸油》作为一个产品团体标准，既要考虑指标范围适度放宽，体现标准的适用性，同时也要满足部分大豆油的产品品质。因此作为大豆油基煎炸油产品，结合实际情况，本标准将煎炸油维生素E含量控制在19-25mg/100g，针对性解决营养素损失快、煎炸时间短等、理化指标易超过食品安全标准等关键问题，以提升大豆油作为煎炸专用油的煎炸稳定性品质。</w:t>
      </w:r>
    </w:p>
    <w:p>
      <w:pPr>
        <w:spacing w:line="360" w:lineRule="auto"/>
        <w:ind w:firstLine="480"/>
        <w:jc w:val="left"/>
        <w:rPr>
          <w:rFonts w:ascii="Times New Roman" w:hAnsi="Times New Roman" w:eastAsia="宋体" w:cs="Times New Roman"/>
        </w:rPr>
      </w:pPr>
    </w:p>
    <w:p>
      <w:pPr>
        <w:spacing w:line="360" w:lineRule="auto"/>
        <w:ind w:firstLine="630" w:firstLineChars="300"/>
        <w:jc w:val="left"/>
        <w:rPr>
          <w:rFonts w:ascii="Times New Roman" w:hAnsi="Times New Roman" w:eastAsia="宋体" w:cs="Times New Roman"/>
        </w:rPr>
      </w:pPr>
      <w:r>
        <w:rPr>
          <w:rFonts w:ascii="宋体" w:hAnsi="宋体" w:eastAsia="宋体" w:cs="Times New Roman"/>
        </w:rPr>
        <w:drawing>
          <wp:inline distT="0" distB="0" distL="0" distR="0">
            <wp:extent cx="4572000" cy="274320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360" w:lineRule="auto"/>
        <w:ind w:firstLine="1890" w:firstLineChars="900"/>
        <w:rPr>
          <w:rFonts w:ascii="Times New Roman" w:hAnsi="Times New Roman" w:eastAsia="宋体" w:cs="Times New Roman"/>
        </w:rPr>
      </w:pPr>
      <w:r>
        <w:rPr>
          <w:rFonts w:ascii="Times New Roman" w:hAnsi="Times New Roman" w:eastAsia="宋体" w:cs="Times New Roman"/>
        </w:rPr>
        <w:t>图6 聚甘油脂肪酸酯添加量与产品吸油率的关系</w:t>
      </w:r>
    </w:p>
    <w:p>
      <w:pPr>
        <w:spacing w:line="360" w:lineRule="auto"/>
        <w:ind w:firstLine="480" w:firstLineChars="200"/>
        <w:jc w:val="left"/>
        <w:rPr>
          <w:rFonts w:ascii="Times New Roman" w:hAnsi="Times New Roman" w:eastAsia="宋体" w:cs="Times New Roman"/>
          <w:color w:val="000000"/>
          <w:sz w:val="24"/>
        </w:rPr>
      </w:pPr>
      <w:r>
        <w:rPr>
          <w:rFonts w:ascii="Times New Roman" w:hAnsi="Times New Roman" w:eastAsia="宋体" w:cs="Times New Roman"/>
          <w:color w:val="000000"/>
          <w:sz w:val="24"/>
        </w:rPr>
        <w:t>总体来看，聚甘油脂肪酸酯在煎炸油中作为乳化稳定剂在添加量在0-0.5%范围内时，随着稳定剂的增加，煎炸产品的吸油率逐渐下降，合适的稳定剂含量能够降低吸油率，提高产品的口感，因此作为大豆油基煎炸油产品，结合实际成本情况考虑，本标准将煎炸油聚甘油脂肪酸酯含量控制在0-0.5%，针对性解决煎炸产品吸油率高、口感不好等关键问题，以提升大豆油作为煎炸专用油的产品感官品质。</w:t>
      </w:r>
    </w:p>
    <w:p>
      <w:pPr>
        <w:spacing w:line="360" w:lineRule="auto"/>
        <w:jc w:val="center"/>
        <w:rPr>
          <w:rFonts w:ascii="Times New Roman" w:hAnsi="Times New Roman" w:eastAsia="宋体" w:cs="Times New Roman"/>
          <w:color w:val="000000"/>
        </w:rPr>
      </w:pPr>
      <w:r>
        <w:rPr>
          <w:rFonts w:ascii="Times New Roman" w:hAnsi="Times New Roman" w:eastAsia="宋体" w:cs="Times New Roman"/>
          <w:color w:val="000000"/>
        </w:rPr>
        <w:t>表5  大豆油基煎炸油特征指标</w:t>
      </w:r>
    </w:p>
    <w:tbl>
      <w:tblPr>
        <w:tblStyle w:val="6"/>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644"/>
        <w:gridCol w:w="3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44" w:type="dxa"/>
            <w:shd w:val="clear" w:color="auto" w:fill="auto"/>
          </w:tcPr>
          <w:p>
            <w:pPr>
              <w:jc w:val="center"/>
              <w:rPr>
                <w:rFonts w:ascii="Times New Roman" w:hAnsi="Times New Roman" w:eastAsia="宋体" w:cs="Times New Roman"/>
              </w:rPr>
            </w:pPr>
            <w:r>
              <w:rPr>
                <w:rFonts w:ascii="Times New Roman" w:hAnsi="Times New Roman" w:eastAsia="宋体" w:cs="Times New Roman"/>
              </w:rPr>
              <w:t>项   目</w:t>
            </w:r>
          </w:p>
        </w:tc>
        <w:tc>
          <w:tcPr>
            <w:tcW w:w="3686" w:type="dxa"/>
            <w:shd w:val="clear" w:color="auto" w:fill="auto"/>
          </w:tcPr>
          <w:p>
            <w:pPr>
              <w:jc w:val="center"/>
              <w:rPr>
                <w:rFonts w:ascii="Times New Roman" w:hAnsi="Times New Roman" w:eastAsia="宋体" w:cs="Times New Roman"/>
              </w:rPr>
            </w:pPr>
            <w:r>
              <w:rPr>
                <w:rFonts w:ascii="Times New Roman" w:hAnsi="Times New Roman" w:eastAsia="宋体" w:cs="Times New Roman"/>
              </w:rPr>
              <w:t>指  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44" w:type="dxa"/>
            <w:shd w:val="clear" w:color="auto" w:fill="auto"/>
          </w:tcPr>
          <w:p>
            <w:pPr>
              <w:rPr>
                <w:rFonts w:ascii="Times New Roman" w:hAnsi="Times New Roman" w:eastAsia="宋体" w:cs="Times New Roman"/>
              </w:rPr>
            </w:pPr>
            <w:r>
              <w:rPr>
                <w:rFonts w:ascii="Times New Roman" w:hAnsi="Times New Roman" w:eastAsia="宋体" w:cs="Times New Roman"/>
              </w:rPr>
              <w:t xml:space="preserve">维生素E含量/(α-生育酚当量mg/100g)                          </w:t>
            </w:r>
          </w:p>
        </w:tc>
        <w:tc>
          <w:tcPr>
            <w:tcW w:w="3686" w:type="dxa"/>
            <w:shd w:val="clear" w:color="auto" w:fill="auto"/>
          </w:tcPr>
          <w:p>
            <w:pPr>
              <w:jc w:val="center"/>
              <w:rPr>
                <w:rFonts w:ascii="Times New Roman" w:hAnsi="Times New Roman" w:eastAsia="宋体" w:cs="Times New Roman"/>
              </w:rPr>
            </w:pPr>
            <w:r>
              <w:rPr>
                <w:rFonts w:ascii="Times New Roman" w:hAnsi="Times New Roman" w:eastAsia="宋体" w:cs="Times New Roman"/>
              </w:rPr>
              <w:t>19～25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644" w:type="dxa"/>
            <w:shd w:val="clear" w:color="auto" w:fill="auto"/>
          </w:tcPr>
          <w:p>
            <w:pPr>
              <w:jc w:val="left"/>
              <w:rPr>
                <w:rFonts w:ascii="Times New Roman" w:hAnsi="Times New Roman" w:eastAsia="宋体" w:cs="Times New Roman"/>
              </w:rPr>
            </w:pPr>
            <w:r>
              <w:rPr>
                <w:rFonts w:ascii="Times New Roman" w:hAnsi="Times New Roman" w:eastAsia="宋体" w:cs="Times New Roman"/>
              </w:rPr>
              <w:t>聚甘油脂肪酸酯含量/%                   ≤</w:t>
            </w:r>
          </w:p>
        </w:tc>
        <w:tc>
          <w:tcPr>
            <w:tcW w:w="3686" w:type="dxa"/>
            <w:shd w:val="clear" w:color="auto" w:fill="auto"/>
          </w:tcPr>
          <w:p>
            <w:pPr>
              <w:jc w:val="center"/>
              <w:rPr>
                <w:rFonts w:ascii="Times New Roman" w:hAnsi="Times New Roman" w:eastAsia="宋体" w:cs="Times New Roman"/>
              </w:rPr>
            </w:pPr>
            <w:r>
              <w:rPr>
                <w:rFonts w:ascii="Times New Roman" w:hAnsi="Times New Roman" w:eastAsia="宋体" w:cs="Times New Roman"/>
              </w:rPr>
              <w:t>0.5</w:t>
            </w:r>
          </w:p>
        </w:tc>
      </w:tr>
    </w:tbl>
    <w:p>
      <w:pPr>
        <w:pStyle w:val="5"/>
        <w:widowControl/>
        <w:spacing w:line="360" w:lineRule="auto"/>
        <w:ind w:firstLine="482" w:firstLineChars="200"/>
        <w:rPr>
          <w:b/>
          <w:color w:val="000000"/>
        </w:rPr>
      </w:pPr>
      <w:r>
        <w:rPr>
          <w:b/>
          <w:color w:val="000000"/>
        </w:rPr>
        <w:t>2.2.4 食品安全要求</w:t>
      </w:r>
    </w:p>
    <w:p>
      <w:pPr>
        <w:pStyle w:val="5"/>
        <w:widowControl/>
        <w:spacing w:line="360" w:lineRule="auto"/>
        <w:ind w:firstLine="480" w:firstLineChars="200"/>
        <w:rPr>
          <w:color w:val="000000"/>
        </w:rPr>
      </w:pPr>
      <w:r>
        <w:rPr>
          <w:color w:val="000000"/>
        </w:rPr>
        <w:t>食品安全要求按照《食品安全国家标准  植物油》（GB 2716），《</w:t>
      </w:r>
      <w:r>
        <w:fldChar w:fldCharType="begin"/>
      </w:r>
      <w:r>
        <w:instrText xml:space="preserve"> HYPERLINK "http://down.foodmate.net/standard/sort/3/42543.html" \t "_blank" \o "GB 2760-2014 食品安全国家标准 食品添加剂使用标准（2015-5-24实施）" </w:instrText>
      </w:r>
      <w:r>
        <w:fldChar w:fldCharType="separate"/>
      </w:r>
      <w:r>
        <w:rPr>
          <w:color w:val="000000"/>
        </w:rPr>
        <w:t>食品安全国家标准 食品添加剂使用标准</w:t>
      </w:r>
      <w:r>
        <w:rPr>
          <w:color w:val="000000"/>
        </w:rPr>
        <w:fldChar w:fldCharType="end"/>
      </w:r>
      <w:r>
        <w:rPr>
          <w:color w:val="000000"/>
        </w:rPr>
        <w:t>》（GB 2760），《食品安全国家标准 食品中真菌毒素限量</w:t>
      </w:r>
      <w:r>
        <w:rPr>
          <w:color w:val="000000"/>
          <w:sz w:val="21"/>
        </w:rPr>
        <w:t>》</w:t>
      </w:r>
      <w:r>
        <w:rPr>
          <w:color w:val="000000"/>
        </w:rPr>
        <w:t>（GB 2761）</w:t>
      </w:r>
      <w:r>
        <w:rPr>
          <w:color w:val="000000"/>
          <w:sz w:val="21"/>
        </w:rPr>
        <w:t>，《</w:t>
      </w:r>
      <w:r>
        <w:rPr>
          <w:color w:val="000000"/>
        </w:rPr>
        <w:t>食品安全国家标准食品中污染物限量</w:t>
      </w:r>
      <w:r>
        <w:rPr>
          <w:color w:val="000000"/>
          <w:sz w:val="21"/>
        </w:rPr>
        <w:t>》</w:t>
      </w:r>
      <w:r>
        <w:rPr>
          <w:color w:val="000000"/>
        </w:rPr>
        <w:t>（GB 2762）</w:t>
      </w:r>
      <w:r>
        <w:rPr>
          <w:color w:val="000000"/>
          <w:sz w:val="21"/>
        </w:rPr>
        <w:t>，《</w:t>
      </w:r>
      <w:r>
        <w:rPr>
          <w:color w:val="000000"/>
        </w:rPr>
        <w:t>食品安全国家标准食品中农药最大残留限量</w:t>
      </w:r>
      <w:r>
        <w:rPr>
          <w:color w:val="000000"/>
          <w:sz w:val="21"/>
        </w:rPr>
        <w:t>》</w:t>
      </w:r>
      <w:r>
        <w:rPr>
          <w:color w:val="000000"/>
        </w:rPr>
        <w:t>（GB 2763）和其他国家有关规定执行。同时，要求大豆油基煎炸油的食品营养强化剂品种和使用量应符合GB 14880的规定，且不得添加非食用物质。</w:t>
      </w:r>
    </w:p>
    <w:p>
      <w:pPr>
        <w:pStyle w:val="5"/>
        <w:widowControl/>
        <w:spacing w:line="360" w:lineRule="auto"/>
        <w:ind w:firstLine="480" w:firstLineChars="200"/>
        <w:rPr>
          <w:color w:val="000000"/>
        </w:rPr>
      </w:pPr>
      <w:r>
        <w:rPr>
          <w:color w:val="000000"/>
        </w:rPr>
        <w:t>标准起草小组考虑到本标准要具有一定的先进性，可以引导行业的发展，在大豆油基煎炸油标准的食品安全要求中，共设黄曲霉毒素B</w:t>
      </w:r>
      <w:r>
        <w:rPr>
          <w:color w:val="000000"/>
          <w:vertAlign w:val="subscript"/>
        </w:rPr>
        <w:t>1</w:t>
      </w:r>
      <w:r>
        <w:rPr>
          <w:color w:val="000000"/>
        </w:rPr>
        <w:t>、苯并[a]芘、塑化剂（DEHP，DBP，DINP）共计5个指标限量，且严于相应的国家标准；其中，黄曲霉毒素B</w:t>
      </w:r>
      <w:r>
        <w:rPr>
          <w:color w:val="000000"/>
          <w:vertAlign w:val="subscript"/>
        </w:rPr>
        <w:t>1</w:t>
      </w:r>
      <w:r>
        <w:rPr>
          <w:color w:val="000000"/>
        </w:rPr>
        <w:t>≤5.0 μg/kg、苯并[a]芘≤8.0 μg/kg，DEHP≤1.0 mg/kg，DBP≤0.2 mg/kg，DINP≤6.0 mg/kg。</w:t>
      </w:r>
    </w:p>
    <w:p>
      <w:pPr>
        <w:pStyle w:val="13"/>
        <w:ind w:firstLine="420"/>
        <w:jc w:val="center"/>
        <w:rPr>
          <w:rFonts w:ascii="Times New Roman" w:hAnsi="Times New Roman"/>
          <w:bCs/>
          <w:color w:val="000000"/>
          <w:sz w:val="21"/>
          <w:szCs w:val="24"/>
        </w:rPr>
      </w:pPr>
      <w:r>
        <w:rPr>
          <w:rFonts w:ascii="Times New Roman" w:hAnsi="Times New Roman"/>
          <w:bCs/>
          <w:color w:val="000000"/>
          <w:sz w:val="21"/>
          <w:szCs w:val="24"/>
        </w:rPr>
        <w:t>表6  大豆油基煎炸油安全指标</w:t>
      </w:r>
    </w:p>
    <w:tbl>
      <w:tblPr>
        <w:tblStyle w:val="6"/>
        <w:tblW w:w="43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2497"/>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gridSpan w:val="2"/>
            <w:vAlign w:val="center"/>
          </w:tcPr>
          <w:p>
            <w:pPr>
              <w:jc w:val="center"/>
              <w:rPr>
                <w:rFonts w:ascii="Times New Roman" w:hAnsi="Times New Roman" w:eastAsia="宋体" w:cs="Times New Roman"/>
                <w:sz w:val="18"/>
              </w:rPr>
            </w:pPr>
            <w:r>
              <w:rPr>
                <w:rFonts w:ascii="Times New Roman" w:hAnsi="Times New Roman" w:eastAsia="宋体" w:cs="Times New Roman"/>
                <w:sz w:val="18"/>
                <w:szCs w:val="18"/>
              </w:rPr>
              <w:t>项   目</w:t>
            </w:r>
          </w:p>
        </w:tc>
        <w:tc>
          <w:tcPr>
            <w:tcW w:w="3543" w:type="dxa"/>
            <w:vAlign w:val="center"/>
          </w:tcPr>
          <w:p>
            <w:pPr>
              <w:jc w:val="center"/>
              <w:rPr>
                <w:rFonts w:ascii="Times New Roman" w:hAnsi="Times New Roman" w:eastAsia="宋体" w:cs="Times New Roman"/>
                <w:sz w:val="18"/>
              </w:rPr>
            </w:pPr>
            <w:r>
              <w:rPr>
                <w:rFonts w:ascii="Times New Roman" w:hAnsi="Times New Roman" w:eastAsia="宋体" w:cs="Times New Roman"/>
                <w:sz w:val="18"/>
                <w:szCs w:val="18"/>
              </w:rPr>
              <w:t>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gridSpan w:val="2"/>
          </w:tcPr>
          <w:p>
            <w:pPr>
              <w:rPr>
                <w:rFonts w:ascii="Times New Roman" w:hAnsi="Times New Roman" w:eastAsia="宋体" w:cs="Times New Roman"/>
                <w:sz w:val="18"/>
              </w:rPr>
            </w:pPr>
            <w:r>
              <w:rPr>
                <w:rFonts w:ascii="Times New Roman" w:hAnsi="Times New Roman" w:eastAsia="宋体" w:cs="Times New Roman"/>
                <w:sz w:val="18"/>
                <w:szCs w:val="18"/>
              </w:rPr>
              <w:t>黄曲霉毒素B</w:t>
            </w:r>
            <w:r>
              <w:rPr>
                <w:rFonts w:ascii="Times New Roman" w:hAnsi="Times New Roman" w:eastAsia="宋体" w:cs="Times New Roman"/>
                <w:sz w:val="18"/>
                <w:szCs w:val="18"/>
                <w:vertAlign w:val="subscript"/>
              </w:rPr>
              <w:t>1</w:t>
            </w:r>
            <w:r>
              <w:rPr>
                <w:rFonts w:ascii="Times New Roman" w:hAnsi="Times New Roman" w:eastAsia="宋体" w:cs="Times New Roman"/>
                <w:sz w:val="18"/>
                <w:szCs w:val="18"/>
              </w:rPr>
              <w:t>/（μg/kg）              ≤</w:t>
            </w:r>
          </w:p>
        </w:tc>
        <w:tc>
          <w:tcPr>
            <w:tcW w:w="3543" w:type="dxa"/>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36" w:type="dxa"/>
            <w:gridSpan w:val="2"/>
          </w:tcPr>
          <w:p>
            <w:pPr>
              <w:rPr>
                <w:rFonts w:ascii="Times New Roman" w:hAnsi="Times New Roman" w:eastAsia="宋体" w:cs="Times New Roman"/>
                <w:sz w:val="18"/>
              </w:rPr>
            </w:pPr>
            <w:r>
              <w:rPr>
                <w:rFonts w:ascii="Times New Roman" w:hAnsi="Times New Roman" w:eastAsia="宋体" w:cs="Times New Roman"/>
                <w:sz w:val="18"/>
                <w:szCs w:val="18"/>
              </w:rPr>
              <w:t>苯并[a]芘/（μg/kg)                  ≤</w:t>
            </w:r>
          </w:p>
        </w:tc>
        <w:tc>
          <w:tcPr>
            <w:tcW w:w="3543" w:type="dxa"/>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restart"/>
            <w:vAlign w:val="center"/>
          </w:tcPr>
          <w:p>
            <w:pPr>
              <w:widowControl/>
              <w:rPr>
                <w:rFonts w:ascii="Times New Roman" w:hAnsi="Times New Roman" w:eastAsia="宋体" w:cs="Times New Roman"/>
                <w:sz w:val="18"/>
                <w:szCs w:val="18"/>
              </w:rPr>
            </w:pPr>
            <w:r>
              <w:rPr>
                <w:rFonts w:ascii="Times New Roman" w:hAnsi="Times New Roman" w:eastAsia="宋体" w:cs="Times New Roman"/>
                <w:sz w:val="18"/>
                <w:szCs w:val="18"/>
              </w:rPr>
              <w:t>塑化剂</w:t>
            </w:r>
          </w:p>
        </w:tc>
        <w:tc>
          <w:tcPr>
            <w:tcW w:w="2497" w:type="dxa"/>
            <w:vAlign w:val="center"/>
          </w:tcPr>
          <w:p>
            <w:pPr>
              <w:widowControl/>
              <w:rPr>
                <w:rFonts w:ascii="Times New Roman" w:hAnsi="Times New Roman" w:eastAsia="宋体" w:cs="Times New Roman"/>
                <w:sz w:val="18"/>
                <w:szCs w:val="18"/>
              </w:rPr>
            </w:pPr>
            <w:r>
              <w:rPr>
                <w:rFonts w:ascii="Times New Roman" w:hAnsi="Times New Roman" w:eastAsia="宋体" w:cs="Times New Roman"/>
                <w:sz w:val="18"/>
                <w:szCs w:val="18"/>
              </w:rPr>
              <w:t>DEHP（mg/kg）        ≤</w:t>
            </w:r>
          </w:p>
        </w:tc>
        <w:tc>
          <w:tcPr>
            <w:tcW w:w="3543" w:type="dxa"/>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continue"/>
            <w:vAlign w:val="center"/>
          </w:tcPr>
          <w:p>
            <w:pPr>
              <w:widowControl/>
              <w:rPr>
                <w:rFonts w:ascii="Times New Roman" w:hAnsi="Times New Roman" w:eastAsia="宋体" w:cs="Times New Roman"/>
                <w:sz w:val="18"/>
                <w:szCs w:val="18"/>
              </w:rPr>
            </w:pPr>
          </w:p>
        </w:tc>
        <w:tc>
          <w:tcPr>
            <w:tcW w:w="2497" w:type="dxa"/>
            <w:vAlign w:val="center"/>
          </w:tcPr>
          <w:p>
            <w:pPr>
              <w:widowControl/>
              <w:rPr>
                <w:rFonts w:ascii="Times New Roman" w:hAnsi="Times New Roman" w:eastAsia="宋体" w:cs="Times New Roman"/>
                <w:sz w:val="18"/>
                <w:szCs w:val="18"/>
              </w:rPr>
            </w:pPr>
            <w:r>
              <w:rPr>
                <w:rFonts w:ascii="Times New Roman" w:hAnsi="Times New Roman" w:eastAsia="宋体" w:cs="Times New Roman"/>
                <w:sz w:val="18"/>
                <w:szCs w:val="18"/>
              </w:rPr>
              <w:t>DBP（mg/kg）         ≤</w:t>
            </w:r>
          </w:p>
        </w:tc>
        <w:tc>
          <w:tcPr>
            <w:tcW w:w="3543" w:type="dxa"/>
            <w:vAlign w:val="center"/>
          </w:tcPr>
          <w:p>
            <w:pPr>
              <w:widowControl/>
              <w:jc w:val="center"/>
              <w:rPr>
                <w:rFonts w:ascii="Times New Roman" w:hAnsi="Times New Roman" w:eastAsia="宋体" w:cs="Times New Roman"/>
                <w:sz w:val="18"/>
                <w:szCs w:val="18"/>
              </w:rPr>
            </w:pPr>
            <w:r>
              <w:rPr>
                <w:rFonts w:ascii="Times New Roman" w:hAnsi="Times New Roman" w:eastAsia="宋体" w:cs="Times New Roman"/>
                <w:sz w:val="18"/>
                <w:szCs w:val="18"/>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continue"/>
            <w:vAlign w:val="center"/>
          </w:tcPr>
          <w:p>
            <w:pPr>
              <w:widowControl/>
              <w:rPr>
                <w:rFonts w:ascii="Times New Roman" w:hAnsi="Times New Roman" w:eastAsia="宋体" w:cs="Times New Roman"/>
                <w:kern w:val="0"/>
                <w:sz w:val="18"/>
                <w:szCs w:val="18"/>
              </w:rPr>
            </w:pPr>
          </w:p>
        </w:tc>
        <w:tc>
          <w:tcPr>
            <w:tcW w:w="2497" w:type="dxa"/>
            <w:vAlign w:val="center"/>
          </w:tcPr>
          <w:p>
            <w:pPr>
              <w:widowControl/>
              <w:rPr>
                <w:rFonts w:ascii="Times New Roman" w:hAnsi="Times New Roman" w:eastAsia="宋体" w:cs="Times New Roman"/>
                <w:sz w:val="18"/>
                <w:szCs w:val="18"/>
              </w:rPr>
            </w:pPr>
            <w:r>
              <w:rPr>
                <w:rFonts w:ascii="Times New Roman" w:hAnsi="Times New Roman" w:eastAsia="宋体" w:cs="Times New Roman"/>
                <w:sz w:val="18"/>
                <w:szCs w:val="18"/>
              </w:rPr>
              <w:t>DINP（mg/kg）        ≤</w:t>
            </w:r>
          </w:p>
        </w:tc>
        <w:tc>
          <w:tcPr>
            <w:tcW w:w="3543" w:type="dxa"/>
            <w:vAlign w:val="center"/>
          </w:tcPr>
          <w:p>
            <w:pPr>
              <w:widowControl/>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6.0</w:t>
            </w:r>
          </w:p>
        </w:tc>
      </w:tr>
    </w:tbl>
    <w:p>
      <w:pPr>
        <w:spacing w:line="360" w:lineRule="auto"/>
        <w:ind w:firstLine="482" w:firstLineChars="200"/>
        <w:rPr>
          <w:rFonts w:ascii="Times New Roman" w:hAnsi="Times New Roman" w:eastAsia="宋体" w:cs="Times New Roman"/>
          <w:b/>
          <w:color w:val="000000"/>
          <w:sz w:val="24"/>
        </w:rPr>
      </w:pPr>
      <w:r>
        <w:rPr>
          <w:rFonts w:ascii="Times New Roman" w:hAnsi="Times New Roman" w:eastAsia="宋体" w:cs="Times New Roman"/>
          <w:b/>
          <w:color w:val="000000"/>
          <w:sz w:val="24"/>
        </w:rPr>
        <w:t>2.3 检验方法</w:t>
      </w:r>
    </w:p>
    <w:p>
      <w:pPr>
        <w:spacing w:line="360" w:lineRule="auto"/>
        <w:ind w:firstLine="480" w:firstLineChars="200"/>
        <w:rPr>
          <w:rFonts w:ascii="Times New Roman" w:hAnsi="Times New Roman" w:eastAsia="宋体" w:cs="Times New Roman"/>
          <w:b/>
          <w:bCs/>
          <w:color w:val="000000"/>
          <w:sz w:val="24"/>
          <w:lang w:val="en-GB"/>
        </w:rPr>
      </w:pPr>
      <w:r>
        <w:rPr>
          <w:rFonts w:ascii="Times New Roman" w:hAnsi="Times New Roman" w:eastAsia="宋体" w:cs="Times New Roman"/>
          <w:color w:val="000000"/>
          <w:sz w:val="24"/>
        </w:rPr>
        <w:t>检</w:t>
      </w:r>
      <w:r>
        <w:rPr>
          <w:rFonts w:ascii="Times New Roman" w:hAnsi="Times New Roman" w:eastAsia="宋体" w:cs="Times New Roman"/>
          <w:color w:val="000000"/>
          <w:kern w:val="0"/>
          <w:sz w:val="24"/>
        </w:rPr>
        <w:t>验方法是保证标准正确实施的重要手段，也为监督管理部门提供了有力工具。本标准对质量要求中所有指标的检验方法都作了明确规定，这些检测方法均为</w:t>
      </w:r>
      <w:r>
        <w:rPr>
          <w:rFonts w:ascii="Times New Roman" w:hAnsi="Times New Roman" w:eastAsia="宋体" w:cs="Times New Roman"/>
          <w:color w:val="000000"/>
          <w:sz w:val="24"/>
        </w:rPr>
        <w:t>最新发布并将实施的食品安全国家标准和现行有效的粮油检验体系的国家标准。</w:t>
      </w:r>
    </w:p>
    <w:p>
      <w:pPr>
        <w:spacing w:line="360" w:lineRule="auto"/>
        <w:ind w:firstLine="482" w:firstLineChars="200"/>
        <w:rPr>
          <w:rFonts w:ascii="Times New Roman" w:hAnsi="Times New Roman" w:eastAsia="宋体" w:cs="Times New Roman"/>
          <w:b/>
          <w:bCs/>
          <w:color w:val="000000"/>
          <w:sz w:val="24"/>
          <w:lang w:val="en-GB"/>
        </w:rPr>
      </w:pPr>
      <w:r>
        <w:rPr>
          <w:rFonts w:ascii="Times New Roman" w:hAnsi="Times New Roman" w:eastAsia="宋体" w:cs="Times New Roman"/>
          <w:b/>
          <w:bCs/>
          <w:color w:val="000000"/>
          <w:sz w:val="24"/>
          <w:lang w:val="en-GB"/>
        </w:rPr>
        <w:t>2.4 检验规则</w:t>
      </w:r>
    </w:p>
    <w:p>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检验规则包括检验的一般规则、检验批次、扦样、出厂检验、型式检验、判定规则六项内容，对其都作了具体说明。其中，按照《中华人民共和国食品安全法》的要求，“出厂检验”要求了“应逐批检验，并出具检验报告”的内容。判定规则规定“产品经检验，有一项不符合表1、表2、表3、表4和表5要求时,判定为不合格产品。”</w:t>
      </w:r>
    </w:p>
    <w:p>
      <w:pPr>
        <w:spacing w:line="360" w:lineRule="auto"/>
        <w:ind w:firstLine="482" w:firstLineChars="200"/>
        <w:rPr>
          <w:rFonts w:ascii="Times New Roman" w:hAnsi="Times New Roman" w:eastAsia="宋体" w:cs="Times New Roman"/>
          <w:b/>
          <w:bCs/>
          <w:color w:val="000000"/>
          <w:sz w:val="24"/>
          <w:lang w:val="en-GB"/>
        </w:rPr>
      </w:pPr>
      <w:r>
        <w:rPr>
          <w:rFonts w:ascii="Times New Roman" w:hAnsi="Times New Roman" w:eastAsia="宋体" w:cs="Times New Roman"/>
          <w:b/>
          <w:bCs/>
          <w:color w:val="000000"/>
          <w:sz w:val="24"/>
          <w:lang w:val="en-GB"/>
        </w:rPr>
        <w:t>2.5 标签、标识</w:t>
      </w:r>
    </w:p>
    <w:p>
      <w:pPr>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本标准标签、标识应符合《食品安全国家标准 预包装食品营养标签通则》（GB 28050）的要求，其余“应符合《食品安全国家标准 食品标签通用标准》（GB 7718）的要求。</w:t>
      </w:r>
    </w:p>
    <w:p>
      <w:pPr>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产品名称凡标识为“大豆油基煎炸油”，均应符合本标准。</w:t>
      </w:r>
    </w:p>
    <w:p>
      <w:pPr>
        <w:spacing w:line="360" w:lineRule="auto"/>
        <w:ind w:firstLine="482" w:firstLineChars="200"/>
        <w:rPr>
          <w:rFonts w:ascii="Times New Roman" w:hAnsi="Times New Roman" w:eastAsia="宋体" w:cs="Times New Roman"/>
          <w:b/>
          <w:bCs/>
          <w:color w:val="000000"/>
          <w:sz w:val="24"/>
          <w:lang w:val="en-GB"/>
        </w:rPr>
      </w:pPr>
      <w:r>
        <w:rPr>
          <w:rFonts w:ascii="Times New Roman" w:hAnsi="Times New Roman" w:eastAsia="宋体" w:cs="Times New Roman"/>
          <w:b/>
          <w:bCs/>
          <w:color w:val="000000"/>
          <w:sz w:val="24"/>
          <w:lang w:val="en-GB"/>
        </w:rPr>
        <w:t>2.6 包装、储存、运输和销售</w:t>
      </w:r>
    </w:p>
    <w:p>
      <w:pPr>
        <w:spacing w:line="360" w:lineRule="auto"/>
        <w:ind w:firstLine="480" w:firstLineChars="200"/>
        <w:rPr>
          <w:rFonts w:ascii="Times New Roman" w:hAnsi="Times New Roman" w:eastAsia="宋体" w:cs="Times New Roman"/>
          <w:color w:val="000000"/>
          <w:sz w:val="24"/>
        </w:rPr>
      </w:pPr>
      <w:r>
        <w:rPr>
          <w:rFonts w:ascii="Times New Roman" w:hAnsi="Times New Roman" w:eastAsia="宋体" w:cs="Times New Roman"/>
          <w:color w:val="000000"/>
          <w:sz w:val="24"/>
        </w:rPr>
        <w:t>包装应符合GB/T 17374及国家的有关规定和要求，包装储运图示标志应符合GB/T 191的规定，净含量应符合JJF1070的规定。储存应储存存于阴凉、干燥及避光处。不得与有害、有毒物品一同存放。运输应符合GB/T 30354及国家的有关规定和要求，运输车辆和器具应保持清洁、卫生。运输中应注意安全，防止日晒、雨淋、渗漏、污染和标签脱落；不得与有毒、有害物质同车运输。</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color w:val="000000"/>
          <w:sz w:val="24"/>
        </w:rPr>
        <w:t>另外，按照《中华人民共和国食品安全法》的规定，本次规定了“销售”的要求</w:t>
      </w:r>
      <w:r>
        <w:rPr>
          <w:rFonts w:hint="eastAsia" w:ascii="Times New Roman" w:hAnsi="Times New Roman" w:eastAsia="宋体" w:cs="Times New Roman"/>
          <w:color w:val="000000"/>
          <w:sz w:val="24"/>
        </w:rPr>
        <w:t>为</w:t>
      </w:r>
      <w:r>
        <w:rPr>
          <w:rFonts w:ascii="Times New Roman" w:hAnsi="Times New Roman" w:eastAsia="宋体" w:cs="Times New Roman"/>
          <w:color w:val="000000"/>
          <w:sz w:val="24"/>
        </w:rPr>
        <w:t xml:space="preserve"> “大豆油基煎炸油在零售终端不得脱离原包装散装销售”</w:t>
      </w:r>
    </w:p>
    <w:p>
      <w:pPr>
        <w:adjustRightInd w:val="0"/>
        <w:snapToGrid w:val="0"/>
        <w:spacing w:before="312" w:beforeLines="100"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3．主要试验（或验证）情况的分析、综述报告，技术经济论证，预期的经济效果</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本标准的试验由中粮黄海粮油工业（山东）有限公司、中粮新沙粮油工业</w:t>
      </w:r>
      <w:r>
        <w:rPr>
          <w:rFonts w:ascii="Times New Roman" w:hAnsi="Times New Roman" w:eastAsia="宋体" w:cs="Times New Roman"/>
          <w:sz w:val="24"/>
          <w:szCs w:val="24"/>
        </w:rPr>
        <w:t>(东莞)有限公司和中粮营养健康研究院油脂研发中心实验室进行试验验证。</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国内尚无针对煎炸油的国家标准及行业标准，因此对于如何评判大豆油基煎炸油性能优劣无明确标准。本标准基于大量实验数据，从基本组成和主要物理参数、质量指标、安全指标，特别是特征指标上对适合于煎炸的大豆油做了限定，填补了大豆油基煎炸油的空白。在提升大豆煎炸油品质、保障食用油质量安全、减少危害物生成的同时，也可保证消费者对营养和健康需求，又能为大豆煎炸油的品质界定、优质优价和规范市场行为发挥积极作用</w:t>
      </w:r>
      <w:r>
        <w:rPr>
          <w:rFonts w:ascii="Times New Roman" w:hAnsi="Times New Roman" w:eastAsia="宋体" w:cs="Times New Roman"/>
          <w:sz w:val="24"/>
          <w:szCs w:val="24"/>
        </w:rPr>
        <w:t>。</w:t>
      </w: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4．与国际、国外对比情况</w:t>
      </w:r>
      <w:r>
        <w:rPr>
          <w:rFonts w:ascii="Times New Roman" w:hAnsi="Times New Roman" w:eastAsia="宋体" w:cs="Times New Roman"/>
          <w:sz w:val="24"/>
          <w:szCs w:val="24"/>
        </w:rPr>
        <w:t>（采用国际标准和国外先进标准的程度，以及与国际、国外同类标准水平的对比情况，或与测试的国外样品、样机的有关数据的对比情况等）</w:t>
      </w:r>
    </w:p>
    <w:p>
      <w:pPr>
        <w:adjustRightInd w:val="0"/>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世界上大多数国家及机构</w:t>
      </w:r>
      <w:r>
        <w:rPr>
          <w:rFonts w:ascii="Times New Roman" w:hAnsi="Times New Roman" w:eastAsia="宋体" w:cs="Times New Roman"/>
          <w:sz w:val="24"/>
          <w:szCs w:val="24"/>
        </w:rPr>
        <w:t>均没有发布煎炸用新油(即新鲜煎炸</w:t>
      </w:r>
      <w:r>
        <w:rPr>
          <w:rFonts w:hint="eastAsia" w:ascii="Times New Roman" w:hAnsi="Times New Roman" w:eastAsia="宋体" w:cs="Times New Roman"/>
          <w:sz w:val="24"/>
          <w:szCs w:val="24"/>
        </w:rPr>
        <w:t>油</w:t>
      </w:r>
      <w:r>
        <w:rPr>
          <w:rFonts w:ascii="Times New Roman" w:hAnsi="Times New Roman" w:eastAsia="宋体" w:cs="Times New Roman"/>
          <w:sz w:val="24"/>
          <w:szCs w:val="24"/>
        </w:rPr>
        <w:t>)的质量标准, 通常, 大多数国家煎炸用新油均执行食用</w:t>
      </w:r>
      <w:r>
        <w:rPr>
          <w:rFonts w:hint="eastAsia" w:ascii="Times New Roman" w:hAnsi="Times New Roman" w:eastAsia="宋体" w:cs="Times New Roman"/>
          <w:sz w:val="24"/>
          <w:szCs w:val="24"/>
        </w:rPr>
        <w:t>油的卫生指标和质量标准。</w:t>
      </w:r>
    </w:p>
    <w:p>
      <w:pPr>
        <w:pStyle w:val="13"/>
        <w:ind w:firstLine="420"/>
        <w:jc w:val="center"/>
        <w:rPr>
          <w:rFonts w:ascii="Times New Roman" w:hAnsi="Times New Roman"/>
          <w:bCs/>
          <w:color w:val="000000"/>
          <w:sz w:val="21"/>
          <w:szCs w:val="24"/>
        </w:rPr>
      </w:pPr>
      <w:r>
        <w:rPr>
          <w:rFonts w:ascii="Times New Roman" w:hAnsi="Times New Roman"/>
          <w:bCs/>
          <w:color w:val="000000"/>
          <w:sz w:val="21"/>
          <w:szCs w:val="24"/>
        </w:rPr>
        <w:t xml:space="preserve">表7  </w:t>
      </w:r>
      <w:r>
        <w:rPr>
          <w:rFonts w:hint="eastAsia" w:ascii="Times New Roman" w:hAnsi="Times New Roman"/>
          <w:bCs/>
          <w:color w:val="000000"/>
          <w:sz w:val="21"/>
          <w:szCs w:val="24"/>
        </w:rPr>
        <w:t>世界各国煎炸用新油的规定</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62"/>
        <w:gridCol w:w="367"/>
        <w:gridCol w:w="486"/>
        <w:gridCol w:w="418"/>
        <w:gridCol w:w="656"/>
        <w:gridCol w:w="418"/>
        <w:gridCol w:w="418"/>
        <w:gridCol w:w="418"/>
        <w:gridCol w:w="418"/>
        <w:gridCol w:w="444"/>
        <w:gridCol w:w="444"/>
        <w:gridCol w:w="444"/>
        <w:gridCol w:w="444"/>
        <w:gridCol w:w="444"/>
        <w:gridCol w:w="444"/>
        <w:gridCol w:w="444"/>
        <w:gridCol w:w="444"/>
        <w:gridCol w:w="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762"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24"/>
                <w:szCs w:val="24"/>
              </w:rPr>
            </w:pPr>
          </w:p>
        </w:tc>
        <w:tc>
          <w:tcPr>
            <w:tcW w:w="367"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欧盟</w:t>
            </w:r>
          </w:p>
        </w:tc>
        <w:tc>
          <w:tcPr>
            <w:tcW w:w="486"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奥地利</w:t>
            </w:r>
          </w:p>
        </w:tc>
        <w:tc>
          <w:tcPr>
            <w:tcW w:w="418"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比利时</w:t>
            </w:r>
          </w:p>
        </w:tc>
        <w:tc>
          <w:tcPr>
            <w:tcW w:w="656"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5"/>
                <w:szCs w:val="15"/>
              </w:rPr>
              <w:t>丹麦</w:t>
            </w:r>
          </w:p>
        </w:tc>
        <w:tc>
          <w:tcPr>
            <w:tcW w:w="418"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芬兰</w:t>
            </w:r>
          </w:p>
        </w:tc>
        <w:tc>
          <w:tcPr>
            <w:tcW w:w="418"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法国</w:t>
            </w:r>
          </w:p>
        </w:tc>
        <w:tc>
          <w:tcPr>
            <w:tcW w:w="418"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5"/>
                <w:szCs w:val="15"/>
              </w:rPr>
              <w:t>德国</w:t>
            </w:r>
          </w:p>
        </w:tc>
        <w:tc>
          <w:tcPr>
            <w:tcW w:w="418"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5"/>
                <w:szCs w:val="15"/>
              </w:rPr>
              <w:t>希腊</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爱尔兰</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意大利</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卢森堡</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荷兰</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葡萄牙</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西班牙</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瑞典</w:t>
            </w:r>
          </w:p>
        </w:tc>
        <w:tc>
          <w:tcPr>
            <w:tcW w:w="444"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英国</w:t>
            </w:r>
          </w:p>
        </w:tc>
        <w:tc>
          <w:tcPr>
            <w:tcW w:w="383" w:type="dxa"/>
            <w:tcBorders>
              <w:top w:val="single" w:color="auto" w:sz="12" w:space="0"/>
              <w:bottom w:val="single" w:color="auto" w:sz="6"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5"/>
                <w:szCs w:val="15"/>
              </w:rPr>
              <w:t>中国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2"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芥酸/</w:t>
            </w:r>
            <w:r>
              <w:rPr>
                <w:rFonts w:ascii="Times New Roman" w:hAnsi="Times New Roman" w:eastAsia="宋体" w:cs="Times New Roman"/>
                <w:sz w:val="15"/>
                <w:szCs w:val="15"/>
              </w:rPr>
              <w:t>%</w:t>
            </w:r>
          </w:p>
        </w:tc>
        <w:tc>
          <w:tcPr>
            <w:tcW w:w="367"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86"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18"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656"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18"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18"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18"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18"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444"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5</w:t>
            </w:r>
          </w:p>
        </w:tc>
        <w:tc>
          <w:tcPr>
            <w:tcW w:w="383" w:type="dxa"/>
            <w:tcBorders>
              <w:top w:val="single" w:color="auto" w:sz="6" w:space="0"/>
            </w:tcBorders>
            <w:vAlign w:val="center"/>
          </w:tcPr>
          <w:p>
            <w:pPr>
              <w:adjustRightInd w:val="0"/>
              <w:snapToGrid w:val="0"/>
              <w:spacing w:line="360" w:lineRule="auto"/>
              <w:jc w:val="center"/>
              <w:rPr>
                <w:rFonts w:ascii="Times New Roman" w:hAnsi="Times New Roman" w:eastAsia="宋体" w:cs="Times New Roman"/>
                <w:szCs w:val="24"/>
              </w:rPr>
            </w:pPr>
            <w:r>
              <w:rPr>
                <w:rFonts w:hint="eastAsia" w:ascii="Times New Roman" w:hAnsi="Times New Roman" w:eastAsia="宋体" w:cs="Times New Roman"/>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2" w:type="dxa"/>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F</w:t>
            </w:r>
            <w:r>
              <w:rPr>
                <w:rFonts w:ascii="Times New Roman" w:hAnsi="Times New Roman" w:eastAsia="宋体" w:cs="Times New Roman"/>
                <w:sz w:val="15"/>
                <w:szCs w:val="15"/>
              </w:rPr>
              <w:t>FA</w:t>
            </w:r>
            <w:r>
              <w:rPr>
                <w:rFonts w:hint="eastAsia" w:ascii="Times New Roman" w:hAnsi="Times New Roman" w:eastAsia="宋体" w:cs="Times New Roman"/>
                <w:sz w:val="15"/>
                <w:szCs w:val="15"/>
              </w:rPr>
              <w:t>/</w:t>
            </w:r>
            <w:r>
              <w:rPr>
                <w:rFonts w:ascii="Times New Roman" w:hAnsi="Times New Roman" w:eastAsia="宋体" w:cs="Times New Roman"/>
                <w:sz w:val="15"/>
                <w:szCs w:val="15"/>
              </w:rPr>
              <w:t>%</w:t>
            </w:r>
          </w:p>
        </w:tc>
        <w:tc>
          <w:tcPr>
            <w:tcW w:w="367" w:type="dxa"/>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86" w:type="dxa"/>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0</w:t>
            </w:r>
            <w:r>
              <w:rPr>
                <w:rFonts w:ascii="Times New Roman" w:hAnsi="Times New Roman" w:eastAsia="宋体" w:cs="Times New Roman"/>
                <w:sz w:val="18"/>
                <w:szCs w:val="24"/>
              </w:rPr>
              <w:t>.4</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656"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383"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62" w:type="dxa"/>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烟点</w:t>
            </w:r>
          </w:p>
        </w:tc>
        <w:tc>
          <w:tcPr>
            <w:tcW w:w="367" w:type="dxa"/>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86" w:type="dxa"/>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2</w:t>
            </w:r>
            <w:r>
              <w:rPr>
                <w:rFonts w:ascii="Times New Roman" w:hAnsi="Times New Roman" w:eastAsia="宋体" w:cs="Times New Roman"/>
                <w:sz w:val="18"/>
                <w:szCs w:val="24"/>
              </w:rPr>
              <w:t>05</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656"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18"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383" w:type="dxa"/>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762"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5"/>
                <w:szCs w:val="15"/>
              </w:rPr>
            </w:pPr>
            <w:r>
              <w:rPr>
                <w:rFonts w:hint="eastAsia" w:ascii="Times New Roman" w:hAnsi="Times New Roman" w:eastAsia="宋体" w:cs="Times New Roman"/>
                <w:sz w:val="15"/>
                <w:szCs w:val="15"/>
              </w:rPr>
              <w:t>反式酸/</w:t>
            </w:r>
            <w:r>
              <w:rPr>
                <w:rFonts w:ascii="Times New Roman" w:hAnsi="Times New Roman" w:eastAsia="宋体" w:cs="Times New Roman"/>
                <w:sz w:val="15"/>
                <w:szCs w:val="15"/>
              </w:rPr>
              <w:t>%</w:t>
            </w:r>
          </w:p>
        </w:tc>
        <w:tc>
          <w:tcPr>
            <w:tcW w:w="367"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86"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18"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656"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1</w:t>
            </w:r>
            <w:r>
              <w:rPr>
                <w:rFonts w:ascii="Times New Roman" w:hAnsi="Times New Roman" w:eastAsia="宋体" w:cs="Times New Roman"/>
                <w:sz w:val="18"/>
                <w:szCs w:val="24"/>
              </w:rPr>
              <w:t>5</w:t>
            </w:r>
          </w:p>
        </w:tc>
        <w:tc>
          <w:tcPr>
            <w:tcW w:w="418"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18"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18"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18"/>
                <w:szCs w:val="24"/>
              </w:rPr>
            </w:pPr>
            <w:r>
              <w:rPr>
                <w:rFonts w:hint="eastAsia" w:ascii="Times New Roman" w:hAnsi="Times New Roman" w:eastAsia="宋体" w:cs="Times New Roman"/>
                <w:sz w:val="18"/>
                <w:szCs w:val="24"/>
              </w:rPr>
              <w:t>/</w:t>
            </w:r>
          </w:p>
        </w:tc>
        <w:tc>
          <w:tcPr>
            <w:tcW w:w="418"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444"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c>
          <w:tcPr>
            <w:tcW w:w="383" w:type="dxa"/>
            <w:tcBorders>
              <w:bottom w:val="single" w:color="auto" w:sz="12" w:space="0"/>
            </w:tcBorders>
            <w:vAlign w:val="center"/>
          </w:tcPr>
          <w:p>
            <w:pPr>
              <w:adjustRightInd w:val="0"/>
              <w:snapToGrid w:val="0"/>
              <w:spacing w:line="360" w:lineRule="auto"/>
              <w:jc w:val="center"/>
              <w:rPr>
                <w:rFonts w:ascii="Times New Roman" w:hAnsi="Times New Roman" w:eastAsia="宋体" w:cs="Times New Roman"/>
                <w:sz w:val="24"/>
                <w:szCs w:val="24"/>
              </w:rPr>
            </w:pPr>
            <w:r>
              <w:rPr>
                <w:rFonts w:hint="eastAsia" w:ascii="Times New Roman" w:hAnsi="Times New Roman" w:eastAsia="宋体" w:cs="Times New Roman"/>
                <w:sz w:val="18"/>
                <w:szCs w:val="24"/>
              </w:rPr>
              <w:t>/</w:t>
            </w:r>
          </w:p>
        </w:tc>
      </w:tr>
    </w:tbl>
    <w:p>
      <w:pPr>
        <w:adjustRightInd w:val="0"/>
        <w:snapToGrid w:val="0"/>
        <w:spacing w:line="360" w:lineRule="auto"/>
        <w:ind w:firstLine="360" w:firstLineChars="150"/>
        <w:rPr>
          <w:rFonts w:ascii="Times New Roman" w:hAnsi="Times New Roman" w:eastAsia="宋体" w:cs="Times New Roman"/>
          <w:sz w:val="24"/>
          <w:szCs w:val="24"/>
        </w:rPr>
      </w:pPr>
      <w:r>
        <w:rPr>
          <w:rFonts w:hint="eastAsia" w:ascii="Times New Roman" w:hAnsi="Times New Roman" w:eastAsia="宋体" w:cs="Times New Roman"/>
          <w:sz w:val="24"/>
          <w:szCs w:val="24"/>
        </w:rPr>
        <w:t>如表7，欧盟</w:t>
      </w:r>
      <w:r>
        <w:rPr>
          <w:rFonts w:ascii="Times New Roman" w:hAnsi="Times New Roman" w:eastAsia="宋体" w:cs="Times New Roman"/>
          <w:sz w:val="24"/>
          <w:szCs w:val="24"/>
        </w:rPr>
        <w:t xml:space="preserve"> EC Directive 76/621 仅对煎炸用新油规定一个特征指标, 即芥</w:t>
      </w:r>
      <w:r>
        <w:rPr>
          <w:rFonts w:hint="eastAsia" w:ascii="Times New Roman" w:hAnsi="Times New Roman" w:eastAsia="宋体" w:cs="Times New Roman"/>
          <w:sz w:val="24"/>
          <w:szCs w:val="24"/>
        </w:rPr>
        <w:t>酸含量低于</w:t>
      </w:r>
      <w:r>
        <w:rPr>
          <w:rFonts w:ascii="Times New Roman" w:hAnsi="Times New Roman" w:eastAsia="宋体" w:cs="Times New Roman"/>
          <w:sz w:val="24"/>
          <w:szCs w:val="24"/>
        </w:rPr>
        <w:t xml:space="preserve"> 5%</w:t>
      </w:r>
      <w:r>
        <w:rPr>
          <w:rFonts w:hint="eastAsia" w:ascii="Times New Roman" w:hAnsi="Times New Roman" w:eastAsia="宋体" w:cs="Times New Roman"/>
          <w:sz w:val="24"/>
          <w:szCs w:val="24"/>
        </w:rPr>
        <w:t>，欧洲各国目前均在使用，丹麦限制煎炸用新油中的反式脂肪酸含量</w:t>
      </w:r>
      <w:r>
        <w:rPr>
          <w:rFonts w:ascii="Times New Roman" w:hAnsi="Times New Roman" w:eastAsia="宋体" w:cs="Times New Roman"/>
          <w:sz w:val="24"/>
          <w:szCs w:val="24"/>
        </w:rPr>
        <w:t>, 最初建</w:t>
      </w:r>
      <w:r>
        <w:rPr>
          <w:rFonts w:hint="eastAsia" w:ascii="Times New Roman" w:hAnsi="Times New Roman" w:eastAsia="宋体" w:cs="Times New Roman"/>
          <w:sz w:val="24"/>
          <w:szCs w:val="24"/>
        </w:rPr>
        <w:t>议不超过</w:t>
      </w:r>
      <w:r>
        <w:rPr>
          <w:rFonts w:ascii="Times New Roman" w:hAnsi="Times New Roman" w:eastAsia="宋体" w:cs="Times New Roman"/>
          <w:sz w:val="24"/>
          <w:szCs w:val="24"/>
        </w:rPr>
        <w:t xml:space="preserve"> 15%, 后调整为 10%。尽管该项法令还未</w:t>
      </w:r>
      <w:r>
        <w:rPr>
          <w:rFonts w:hint="eastAsia" w:ascii="Times New Roman" w:hAnsi="Times New Roman" w:eastAsia="宋体" w:cs="Times New Roman"/>
          <w:sz w:val="24"/>
          <w:szCs w:val="24"/>
        </w:rPr>
        <w:t>被正式写入法规</w:t>
      </w:r>
      <w:r>
        <w:rPr>
          <w:rFonts w:ascii="Times New Roman" w:hAnsi="Times New Roman" w:eastAsia="宋体" w:cs="Times New Roman"/>
          <w:sz w:val="24"/>
          <w:szCs w:val="24"/>
        </w:rPr>
        <w:t>, 但许多丹麦企业已在履行。</w:t>
      </w:r>
      <w:r>
        <w:rPr>
          <w:rFonts w:hint="eastAsia" w:ascii="Times New Roman" w:hAnsi="Times New Roman" w:eastAsia="宋体" w:cs="Times New Roman"/>
          <w:sz w:val="24"/>
          <w:szCs w:val="24"/>
        </w:rPr>
        <w:t>奥地利规定了煎炸用新油的游离脂肪酸含量</w:t>
      </w:r>
      <w:r>
        <w:rPr>
          <w:rFonts w:ascii="Times New Roman" w:hAnsi="Times New Roman" w:eastAsia="宋体" w:cs="Times New Roman"/>
          <w:sz w:val="24"/>
          <w:szCs w:val="24"/>
        </w:rPr>
        <w:t>(0.4%)和</w:t>
      </w:r>
      <w:r>
        <w:rPr>
          <w:rFonts w:hint="eastAsia" w:ascii="Times New Roman" w:hAnsi="Times New Roman" w:eastAsia="宋体" w:cs="Times New Roman"/>
          <w:sz w:val="24"/>
          <w:szCs w:val="24"/>
        </w:rPr>
        <w:t>烟点</w:t>
      </w:r>
      <w:r>
        <w:rPr>
          <w:rFonts w:ascii="Times New Roman" w:hAnsi="Times New Roman" w:eastAsia="宋体" w:cs="Times New Roman"/>
          <w:sz w:val="24"/>
          <w:szCs w:val="24"/>
        </w:rPr>
        <w:t>(205 ℃)</w:t>
      </w:r>
      <w:r>
        <w:rPr>
          <w:rFonts w:hint="eastAsia" w:ascii="Times New Roman" w:hAnsi="Times New Roman" w:eastAsia="宋体" w:cs="Times New Roman"/>
          <w:sz w:val="24"/>
          <w:szCs w:val="24"/>
        </w:rPr>
        <w:t>，因此在奥地利葵花籽油和橄榄油作为煎炸油均受限。</w:t>
      </w:r>
    </w:p>
    <w:p>
      <w:pPr>
        <w:adjustRightInd w:val="0"/>
        <w:snapToGrid w:val="0"/>
        <w:spacing w:line="360" w:lineRule="auto"/>
        <w:ind w:firstLine="360" w:firstLineChars="150"/>
        <w:rPr>
          <w:rFonts w:ascii="Times New Roman" w:hAnsi="Times New Roman" w:eastAsia="宋体" w:cs="Times New Roman"/>
          <w:sz w:val="24"/>
          <w:szCs w:val="24"/>
        </w:rPr>
      </w:pPr>
      <w:r>
        <w:rPr>
          <w:rFonts w:hint="eastAsia" w:ascii="Times New Roman" w:hAnsi="Times New Roman" w:eastAsia="宋体" w:cs="Times New Roman"/>
          <w:sz w:val="24"/>
          <w:szCs w:val="24"/>
        </w:rPr>
        <w:t>目前，我国尚未制订煎炸用新油的国家标准，此项新标准中规定的大豆油作为煎炸的相关标准符合欧盟煎炸新油的规定要求。</w:t>
      </w: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5．与有关的现行法律、法规和强制性国家标准的关系</w:t>
      </w:r>
      <w:r>
        <w:rPr>
          <w:rFonts w:ascii="Times New Roman" w:hAnsi="Times New Roman" w:eastAsia="宋体" w:cs="Times New Roman"/>
          <w:sz w:val="24"/>
          <w:szCs w:val="24"/>
        </w:rPr>
        <w:t>（简要说明标准与法律、法规、标准的协调性）</w:t>
      </w:r>
    </w:p>
    <w:p>
      <w:pPr>
        <w:adjustRightInd w:val="0"/>
        <w:snapToGrid w:val="0"/>
        <w:spacing w:before="312" w:beforeLines="100"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标准起草小组参考</w:t>
      </w:r>
      <w:r>
        <w:rPr>
          <w:rFonts w:ascii="Times New Roman" w:hAnsi="Times New Roman" w:eastAsia="宋体" w:cs="Times New Roman"/>
          <w:sz w:val="24"/>
          <w:szCs w:val="24"/>
        </w:rPr>
        <w:t>GB 2716-2018《食品安全国家标准 植物油》和GB/T 1535-2017《大豆油》标准的部分参数，对指标参数进行研究分析和整理。根据GB/T 1.1-2009等标准编制的要求，参照国家相关食品质量安全标准，确定标准草案的相关内容。</w:t>
      </w: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6．重大分歧意见的处理经过和依据</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无。</w:t>
      </w:r>
    </w:p>
    <w:p>
      <w:pPr>
        <w:adjustRightInd w:val="0"/>
        <w:snapToGrid w:val="0"/>
        <w:spacing w:before="312" w:beforeLines="100"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7．标准作为推荐性标准的建议</w:t>
      </w:r>
    </w:p>
    <w:p>
      <w:pPr>
        <w:adjustRightInd w:val="0"/>
        <w:snapToGrid w:val="0"/>
        <w:spacing w:before="312" w:beforeLines="100"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大豆油基煎炸油》团体标准，以此来规范并提升大豆煎炸油品质，降低产品吸油率、改善煎炸产品口感、减少危害物生成，同时，在保证消费者对营养和健康需求的同时，对保障质量安全具有重要意义，建议作为推荐性标准。</w:t>
      </w: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8．贯彻标准的要求和措施建议</w:t>
      </w:r>
      <w:r>
        <w:rPr>
          <w:rFonts w:ascii="Times New Roman" w:hAnsi="Times New Roman" w:eastAsia="宋体" w:cs="Times New Roman"/>
          <w:sz w:val="24"/>
          <w:szCs w:val="24"/>
        </w:rPr>
        <w:t>（包括组织措施、技术措施、过渡办法等）</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待本标准发布后实施前，将面向标准的各相关方开展标准宣贯工作。</w:t>
      </w:r>
    </w:p>
    <w:p>
      <w:pPr>
        <w:adjustRightInd w:val="0"/>
        <w:snapToGrid w:val="0"/>
        <w:spacing w:line="360" w:lineRule="auto"/>
        <w:ind w:firstLine="480" w:firstLineChars="200"/>
        <w:jc w:val="left"/>
        <w:rPr>
          <w:rFonts w:ascii="Times New Roman" w:hAnsi="Times New Roman" w:eastAsia="宋体" w:cs="Times New Roman"/>
          <w:b/>
          <w:sz w:val="24"/>
          <w:szCs w:val="24"/>
        </w:rPr>
      </w:pPr>
      <w:r>
        <w:rPr>
          <w:rFonts w:hint="eastAsia" w:ascii="Times New Roman" w:hAnsi="Times New Roman" w:eastAsia="宋体" w:cs="Times New Roman"/>
          <w:sz w:val="24"/>
          <w:szCs w:val="24"/>
        </w:rPr>
        <w:t>建议该标准自发布之日起</w:t>
      </w:r>
      <w:r>
        <w:rPr>
          <w:rFonts w:ascii="Times New Roman" w:hAnsi="Times New Roman" w:eastAsia="宋体" w:cs="Times New Roman"/>
          <w:sz w:val="24"/>
          <w:szCs w:val="24"/>
        </w:rPr>
        <w:t xml:space="preserve"> 6 个月内开始实施。</w:t>
      </w: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9．废止现行有关标准的建议</w:t>
      </w:r>
    </w:p>
    <w:p>
      <w:pPr>
        <w:adjustRightInd w:val="0"/>
        <w:snapToGrid w:val="0"/>
        <w:spacing w:line="360" w:lineRule="auto"/>
        <w:ind w:firstLine="480" w:firstLineChars="200"/>
        <w:jc w:val="left"/>
        <w:rPr>
          <w:rFonts w:ascii="Times New Roman" w:hAnsi="Times New Roman" w:eastAsia="宋体" w:cs="Times New Roman"/>
          <w:b/>
          <w:sz w:val="24"/>
          <w:szCs w:val="24"/>
        </w:rPr>
      </w:pPr>
      <w:r>
        <w:rPr>
          <w:rFonts w:hint="eastAsia" w:ascii="Times New Roman" w:hAnsi="Times New Roman" w:eastAsia="宋体" w:cs="Times New Roman"/>
          <w:sz w:val="24"/>
          <w:szCs w:val="24"/>
        </w:rPr>
        <w:t>无</w:t>
      </w:r>
      <w:r>
        <w:rPr>
          <w:rFonts w:ascii="Times New Roman" w:hAnsi="Times New Roman" w:eastAsia="宋体" w:cs="Times New Roman"/>
          <w:sz w:val="24"/>
          <w:szCs w:val="24"/>
        </w:rPr>
        <w:t>。</w:t>
      </w:r>
    </w:p>
    <w:p>
      <w:pPr>
        <w:adjustRightInd w:val="0"/>
        <w:snapToGrid w:val="0"/>
        <w:spacing w:before="312" w:beforeLines="100" w:line="360" w:lineRule="auto"/>
        <w:ind w:firstLine="482" w:firstLineChars="200"/>
        <w:jc w:val="left"/>
        <w:rPr>
          <w:rFonts w:ascii="Times New Roman" w:hAnsi="Times New Roman" w:eastAsia="宋体" w:cs="Times New Roman"/>
          <w:sz w:val="24"/>
          <w:szCs w:val="24"/>
        </w:rPr>
      </w:pPr>
      <w:r>
        <w:rPr>
          <w:rFonts w:ascii="Times New Roman" w:hAnsi="Times New Roman" w:eastAsia="宋体" w:cs="Times New Roman"/>
          <w:b/>
          <w:sz w:val="24"/>
          <w:szCs w:val="24"/>
        </w:rPr>
        <w:t>10．其他应予说明的事项</w:t>
      </w:r>
      <w:r>
        <w:rPr>
          <w:rFonts w:ascii="Times New Roman" w:hAnsi="Times New Roman" w:eastAsia="宋体" w:cs="Times New Roman"/>
          <w:sz w:val="24"/>
          <w:szCs w:val="24"/>
        </w:rPr>
        <w:t>（陈述是否涉及专利及有关说明、本标准编制阶段与原计划有差异情况说明及原因等）</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未涉及专利等知识产权内容。</w:t>
      </w:r>
    </w:p>
    <w:p>
      <w:pPr>
        <w:adjustRightInd w:val="0"/>
        <w:snapToGrid w:val="0"/>
        <w:spacing w:before="312" w:beforeLines="100" w:line="360" w:lineRule="auto"/>
        <w:ind w:firstLine="482" w:firstLineChars="200"/>
        <w:jc w:val="left"/>
        <w:rPr>
          <w:rFonts w:ascii="Times New Roman" w:hAnsi="Times New Roman" w:eastAsia="宋体" w:cs="Times New Roman"/>
          <w:b/>
          <w:sz w:val="24"/>
          <w:szCs w:val="24"/>
        </w:rPr>
      </w:pPr>
      <w:r>
        <w:rPr>
          <w:rFonts w:ascii="Times New Roman" w:hAnsi="Times New Roman" w:eastAsia="宋体" w:cs="Times New Roman"/>
          <w:b/>
          <w:sz w:val="24"/>
          <w:szCs w:val="24"/>
        </w:rPr>
        <w:t>11．附录</w:t>
      </w:r>
    </w:p>
    <w:p>
      <w:pPr>
        <w:adjustRightInd w:val="0"/>
        <w:snapToGrid w:val="0"/>
        <w:spacing w:line="360" w:lineRule="auto"/>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rPr>
        <w:t>无</w:t>
      </w:r>
    </w:p>
    <w:p>
      <w:pPr>
        <w:adjustRightInd w:val="0"/>
        <w:snapToGrid w:val="0"/>
        <w:spacing w:line="360" w:lineRule="auto"/>
        <w:ind w:firstLine="480" w:firstLineChars="200"/>
        <w:jc w:val="left"/>
        <w:rPr>
          <w:rFonts w:ascii="Times New Roman" w:hAnsi="Times New Roman" w:eastAsia="宋体" w:cs="Times New Roman"/>
          <w:sz w:val="24"/>
          <w:szCs w:val="24"/>
        </w:rPr>
      </w:pPr>
    </w:p>
    <w:p>
      <w:pPr>
        <w:adjustRightInd w:val="0"/>
        <w:snapToGrid w:val="0"/>
        <w:spacing w:line="360" w:lineRule="auto"/>
        <w:jc w:val="left"/>
        <w:rPr>
          <w:rFonts w:ascii="Times New Roman" w:hAnsi="Times New Roman" w:eastAsia="宋体" w:cs="Times New Roman"/>
          <w:sz w:val="24"/>
          <w:szCs w:val="24"/>
        </w:rPr>
      </w:pPr>
    </w:p>
    <w:p>
      <w:pPr>
        <w:adjustRightInd w:val="0"/>
        <w:snapToGrid w:val="0"/>
        <w:spacing w:line="360" w:lineRule="auto"/>
        <w:jc w:val="left"/>
        <w:rPr>
          <w:rFonts w:ascii="Times New Roman" w:hAnsi="Times New Roman" w:eastAsia="宋体" w:cs="Times New Roman"/>
          <w:sz w:val="24"/>
          <w:szCs w:val="24"/>
        </w:rPr>
      </w:pPr>
    </w:p>
    <w:p>
      <w:pPr>
        <w:adjustRightInd w:val="0"/>
        <w:snapToGrid w:val="0"/>
        <w:spacing w:line="360" w:lineRule="auto"/>
        <w:jc w:val="left"/>
        <w:rPr>
          <w:rFonts w:ascii="Times New Roman" w:hAnsi="Times New Roman" w:eastAsia="宋体" w:cs="Times New Roman"/>
          <w:sz w:val="24"/>
          <w:szCs w:val="24"/>
        </w:rPr>
      </w:pPr>
    </w:p>
    <w:p>
      <w:pPr>
        <w:adjustRightInd w:val="0"/>
        <w:snapToGrid w:val="0"/>
        <w:spacing w:line="360" w:lineRule="auto"/>
        <w:jc w:val="right"/>
        <w:rPr>
          <w:rFonts w:ascii="Times New Roman" w:hAnsi="Times New Roman" w:eastAsia="宋体" w:cs="Times New Roman"/>
          <w:sz w:val="28"/>
          <w:szCs w:val="28"/>
        </w:rPr>
      </w:pPr>
      <w:r>
        <w:rPr>
          <w:rFonts w:ascii="Times New Roman" w:hAnsi="Times New Roman" w:eastAsia="宋体" w:cs="Times New Roman"/>
          <w:sz w:val="28"/>
          <w:szCs w:val="28"/>
        </w:rPr>
        <w:t>《</w:t>
      </w:r>
      <w:r>
        <w:rPr>
          <w:rFonts w:hint="eastAsia" w:ascii="Times New Roman" w:hAnsi="Times New Roman" w:eastAsia="宋体" w:cs="Times New Roman"/>
          <w:sz w:val="28"/>
          <w:szCs w:val="28"/>
        </w:rPr>
        <w:t>大豆油基煎炸油</w:t>
      </w:r>
      <w:r>
        <w:rPr>
          <w:rFonts w:ascii="Times New Roman" w:hAnsi="Times New Roman" w:eastAsia="宋体" w:cs="Times New Roman"/>
          <w:sz w:val="28"/>
          <w:szCs w:val="28"/>
        </w:rPr>
        <w:t>》粮食行业标准起草组</w:t>
      </w:r>
    </w:p>
    <w:p>
      <w:pPr>
        <w:adjustRightInd w:val="0"/>
        <w:snapToGrid w:val="0"/>
        <w:spacing w:line="360" w:lineRule="auto"/>
        <w:ind w:firstLine="5040" w:firstLineChars="1800"/>
        <w:jc w:val="left"/>
        <w:rPr>
          <w:rFonts w:ascii="Times New Roman" w:hAnsi="Times New Roman" w:eastAsia="宋体" w:cs="Times New Roman"/>
          <w:sz w:val="28"/>
          <w:szCs w:val="28"/>
        </w:rPr>
      </w:pPr>
      <w:r>
        <w:rPr>
          <w:rFonts w:ascii="Times New Roman" w:hAnsi="Times New Roman" w:eastAsia="宋体" w:cs="Times New Roman"/>
          <w:sz w:val="28"/>
          <w:szCs w:val="28"/>
        </w:rPr>
        <w:t>2024年1月2日</w:t>
      </w:r>
    </w:p>
    <w:p>
      <w:pPr>
        <w:adjustRightInd w:val="0"/>
        <w:snapToGrid w:val="0"/>
        <w:spacing w:line="360" w:lineRule="auto"/>
        <w:jc w:val="left"/>
        <w:rPr>
          <w:rFonts w:ascii="Times New Roman" w:hAnsi="Times New Roman" w:eastAsia="宋体" w:cs="Times New Roman"/>
          <w:sz w:val="24"/>
          <w:szCs w:val="24"/>
        </w:rPr>
      </w:pPr>
    </w:p>
    <w:p>
      <w:pPr>
        <w:adjustRightInd w:val="0"/>
        <w:snapToGrid w:val="0"/>
        <w:jc w:val="left"/>
        <w:rPr>
          <w:rFonts w:ascii="Times New Roman" w:hAnsi="Times New Roman" w:eastAsia="宋体" w:cs="Times New Roman"/>
          <w:sz w:val="24"/>
          <w:szCs w:val="24"/>
        </w:rPr>
      </w:pPr>
    </w:p>
    <w:p>
      <w:pPr>
        <w:adjustRightInd w:val="0"/>
        <w:snapToGrid w:val="0"/>
        <w:spacing w:line="360" w:lineRule="auto"/>
        <w:jc w:val="left"/>
        <w:rPr>
          <w:rFonts w:ascii="Times New Roman" w:hAnsi="Times New Roman" w:eastAsia="宋体" w:cs="Times New Roman"/>
          <w:sz w:val="24"/>
          <w:szCs w:val="24"/>
        </w:rPr>
      </w:pPr>
    </w:p>
    <w:sectPr>
      <w:headerReference r:id="rId3" w:type="default"/>
      <w:footerReference r:id="rId5" w:type="default"/>
      <w:headerReference r:id="rId4"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9156685"/>
      <w:docPartObj>
        <w:docPartGallery w:val="AutoText"/>
      </w:docPartObj>
    </w:sdtPr>
    <w:sdtContent>
      <w:p>
        <w:pPr>
          <w:pStyle w:val="3"/>
          <w:jc w:val="center"/>
        </w:pPr>
        <w:r>
          <w:fldChar w:fldCharType="begin"/>
        </w:r>
        <w:r>
          <w:instrText xml:space="preserve">PAGE   \* MERGEFORMAT</w:instrText>
        </w:r>
        <w:r>
          <w:fldChar w:fldCharType="separate"/>
        </w:r>
        <w:r>
          <w:rPr>
            <w:lang w:val="zh-CN"/>
          </w:rPr>
          <w:t>15</w:t>
        </w:r>
        <w:r>
          <w:fldChar w:fldCharType="end"/>
        </w:r>
      </w:p>
    </w:sdtContent>
  </w:sdt>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0YTljYTZkNWYzYzI5NzhhMmZkZWNiY2JjYmUyZWUifQ=="/>
  </w:docVars>
  <w:rsids>
    <w:rsidRoot w:val="00A52461"/>
    <w:rsid w:val="00002185"/>
    <w:rsid w:val="00002F5F"/>
    <w:rsid w:val="00014CA7"/>
    <w:rsid w:val="000153DA"/>
    <w:rsid w:val="00030888"/>
    <w:rsid w:val="000365F5"/>
    <w:rsid w:val="000374C9"/>
    <w:rsid w:val="000565FF"/>
    <w:rsid w:val="000567EE"/>
    <w:rsid w:val="00062B5B"/>
    <w:rsid w:val="00080FED"/>
    <w:rsid w:val="000A1A4A"/>
    <w:rsid w:val="000B1056"/>
    <w:rsid w:val="000E4BFE"/>
    <w:rsid w:val="00105FE7"/>
    <w:rsid w:val="001124DF"/>
    <w:rsid w:val="001264F5"/>
    <w:rsid w:val="001311EB"/>
    <w:rsid w:val="001437BF"/>
    <w:rsid w:val="0014440F"/>
    <w:rsid w:val="001568FF"/>
    <w:rsid w:val="00156B5B"/>
    <w:rsid w:val="00157D12"/>
    <w:rsid w:val="001A122F"/>
    <w:rsid w:val="001B04E7"/>
    <w:rsid w:val="001B4ADA"/>
    <w:rsid w:val="001D32DC"/>
    <w:rsid w:val="00236E20"/>
    <w:rsid w:val="00242B01"/>
    <w:rsid w:val="00261FD8"/>
    <w:rsid w:val="0027275A"/>
    <w:rsid w:val="002851A6"/>
    <w:rsid w:val="00285CFC"/>
    <w:rsid w:val="002A20F6"/>
    <w:rsid w:val="002A2B42"/>
    <w:rsid w:val="002B7AB1"/>
    <w:rsid w:val="002D557E"/>
    <w:rsid w:val="002D5A90"/>
    <w:rsid w:val="002E1BFB"/>
    <w:rsid w:val="002E2B0B"/>
    <w:rsid w:val="0032642C"/>
    <w:rsid w:val="00347803"/>
    <w:rsid w:val="0036592B"/>
    <w:rsid w:val="00384574"/>
    <w:rsid w:val="00386ED3"/>
    <w:rsid w:val="00392CA1"/>
    <w:rsid w:val="003C216F"/>
    <w:rsid w:val="003E3FDD"/>
    <w:rsid w:val="003E46B4"/>
    <w:rsid w:val="003F5B06"/>
    <w:rsid w:val="00425368"/>
    <w:rsid w:val="0045408F"/>
    <w:rsid w:val="004557D4"/>
    <w:rsid w:val="0046021E"/>
    <w:rsid w:val="00475950"/>
    <w:rsid w:val="00487E8D"/>
    <w:rsid w:val="004B642E"/>
    <w:rsid w:val="004C2A91"/>
    <w:rsid w:val="004C5C2A"/>
    <w:rsid w:val="004C61A3"/>
    <w:rsid w:val="004D0E12"/>
    <w:rsid w:val="004D30E4"/>
    <w:rsid w:val="00506696"/>
    <w:rsid w:val="00515FCE"/>
    <w:rsid w:val="00533A11"/>
    <w:rsid w:val="00562389"/>
    <w:rsid w:val="00572CE2"/>
    <w:rsid w:val="005A0044"/>
    <w:rsid w:val="005A035A"/>
    <w:rsid w:val="005A41C8"/>
    <w:rsid w:val="005A7E9F"/>
    <w:rsid w:val="005D0690"/>
    <w:rsid w:val="005D0F0E"/>
    <w:rsid w:val="005D3CFC"/>
    <w:rsid w:val="005D4440"/>
    <w:rsid w:val="005E4D26"/>
    <w:rsid w:val="00611B29"/>
    <w:rsid w:val="00615671"/>
    <w:rsid w:val="00620E9B"/>
    <w:rsid w:val="00620F91"/>
    <w:rsid w:val="00622718"/>
    <w:rsid w:val="006363A5"/>
    <w:rsid w:val="0063683C"/>
    <w:rsid w:val="006459C2"/>
    <w:rsid w:val="00663F7A"/>
    <w:rsid w:val="00667F21"/>
    <w:rsid w:val="0067588B"/>
    <w:rsid w:val="006940BE"/>
    <w:rsid w:val="00695A25"/>
    <w:rsid w:val="006A3B65"/>
    <w:rsid w:val="006C037D"/>
    <w:rsid w:val="006C1627"/>
    <w:rsid w:val="006D5C84"/>
    <w:rsid w:val="007044C1"/>
    <w:rsid w:val="00747EEA"/>
    <w:rsid w:val="00773D62"/>
    <w:rsid w:val="00783BF4"/>
    <w:rsid w:val="007A3AB3"/>
    <w:rsid w:val="007B437A"/>
    <w:rsid w:val="007B74A7"/>
    <w:rsid w:val="007C2F74"/>
    <w:rsid w:val="007E6507"/>
    <w:rsid w:val="007F0414"/>
    <w:rsid w:val="00810D4D"/>
    <w:rsid w:val="008241C3"/>
    <w:rsid w:val="008275A0"/>
    <w:rsid w:val="008310AC"/>
    <w:rsid w:val="00865660"/>
    <w:rsid w:val="008770A2"/>
    <w:rsid w:val="008853DA"/>
    <w:rsid w:val="00893CBD"/>
    <w:rsid w:val="008A0F7A"/>
    <w:rsid w:val="008A7187"/>
    <w:rsid w:val="008B1561"/>
    <w:rsid w:val="008C1A9D"/>
    <w:rsid w:val="008C1B50"/>
    <w:rsid w:val="008C3C6B"/>
    <w:rsid w:val="008C60A5"/>
    <w:rsid w:val="008D0361"/>
    <w:rsid w:val="008E0509"/>
    <w:rsid w:val="00913B72"/>
    <w:rsid w:val="00923E38"/>
    <w:rsid w:val="00951660"/>
    <w:rsid w:val="009531F7"/>
    <w:rsid w:val="00962E36"/>
    <w:rsid w:val="009827E5"/>
    <w:rsid w:val="009978B7"/>
    <w:rsid w:val="009A35C4"/>
    <w:rsid w:val="009A3A43"/>
    <w:rsid w:val="009A76BE"/>
    <w:rsid w:val="009C693C"/>
    <w:rsid w:val="009E42A2"/>
    <w:rsid w:val="009E64E3"/>
    <w:rsid w:val="009F6060"/>
    <w:rsid w:val="009F610C"/>
    <w:rsid w:val="00A27A2A"/>
    <w:rsid w:val="00A33FD0"/>
    <w:rsid w:val="00A35F25"/>
    <w:rsid w:val="00A52461"/>
    <w:rsid w:val="00A6032E"/>
    <w:rsid w:val="00A65A3D"/>
    <w:rsid w:val="00A676F1"/>
    <w:rsid w:val="00A767BF"/>
    <w:rsid w:val="00A94ED5"/>
    <w:rsid w:val="00AA133A"/>
    <w:rsid w:val="00B04F2E"/>
    <w:rsid w:val="00B465FA"/>
    <w:rsid w:val="00B5268B"/>
    <w:rsid w:val="00B92D58"/>
    <w:rsid w:val="00BC6636"/>
    <w:rsid w:val="00BD2F58"/>
    <w:rsid w:val="00BE5906"/>
    <w:rsid w:val="00BF59E5"/>
    <w:rsid w:val="00BF65F2"/>
    <w:rsid w:val="00BF6742"/>
    <w:rsid w:val="00C05866"/>
    <w:rsid w:val="00C164DA"/>
    <w:rsid w:val="00C235A4"/>
    <w:rsid w:val="00C66D0D"/>
    <w:rsid w:val="00C7125C"/>
    <w:rsid w:val="00C7697E"/>
    <w:rsid w:val="00C8713C"/>
    <w:rsid w:val="00CB415E"/>
    <w:rsid w:val="00CB7F07"/>
    <w:rsid w:val="00CC3A36"/>
    <w:rsid w:val="00CC537B"/>
    <w:rsid w:val="00CC5B5E"/>
    <w:rsid w:val="00CD4F82"/>
    <w:rsid w:val="00CF0FD6"/>
    <w:rsid w:val="00D06E5E"/>
    <w:rsid w:val="00D07DC7"/>
    <w:rsid w:val="00D10014"/>
    <w:rsid w:val="00D324C7"/>
    <w:rsid w:val="00D832B0"/>
    <w:rsid w:val="00D91923"/>
    <w:rsid w:val="00D95E6B"/>
    <w:rsid w:val="00DA4901"/>
    <w:rsid w:val="00DA5411"/>
    <w:rsid w:val="00DB5A32"/>
    <w:rsid w:val="00DD5073"/>
    <w:rsid w:val="00DE0F81"/>
    <w:rsid w:val="00DE3071"/>
    <w:rsid w:val="00DF70BC"/>
    <w:rsid w:val="00E00D3D"/>
    <w:rsid w:val="00E1780C"/>
    <w:rsid w:val="00E42044"/>
    <w:rsid w:val="00E45B8B"/>
    <w:rsid w:val="00E569B4"/>
    <w:rsid w:val="00E56BB2"/>
    <w:rsid w:val="00E57C0B"/>
    <w:rsid w:val="00E73AFD"/>
    <w:rsid w:val="00E83505"/>
    <w:rsid w:val="00E8761D"/>
    <w:rsid w:val="00E916EE"/>
    <w:rsid w:val="00EA06F5"/>
    <w:rsid w:val="00EA1A2F"/>
    <w:rsid w:val="00EA2F0A"/>
    <w:rsid w:val="00EA2FA3"/>
    <w:rsid w:val="00EB06DE"/>
    <w:rsid w:val="00EB2563"/>
    <w:rsid w:val="00EC544B"/>
    <w:rsid w:val="00EC69AF"/>
    <w:rsid w:val="00ED4AF7"/>
    <w:rsid w:val="00EE0A53"/>
    <w:rsid w:val="00EF1E5A"/>
    <w:rsid w:val="00EF2AE1"/>
    <w:rsid w:val="00F14B50"/>
    <w:rsid w:val="00F512AB"/>
    <w:rsid w:val="00F913E0"/>
    <w:rsid w:val="00F94D6C"/>
    <w:rsid w:val="00F97C1C"/>
    <w:rsid w:val="00FE5780"/>
    <w:rsid w:val="00FE7C12"/>
    <w:rsid w:val="00FF077D"/>
    <w:rsid w:val="00FF4788"/>
    <w:rsid w:val="31697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rPr>
      <w:rFonts w:ascii="Times New Roman" w:hAnsi="Times New Roman" w:eastAsia="宋体" w:cs="Times New Roman"/>
      <w:sz w:val="24"/>
      <w:szCs w:val="24"/>
    </w:rPr>
  </w:style>
  <w:style w:type="table" w:styleId="7">
    <w:name w:val="Table Grid"/>
    <w:basedOn w:val="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批注框文本 Char"/>
    <w:basedOn w:val="8"/>
    <w:link w:val="2"/>
    <w:semiHidden/>
    <w:uiPriority w:val="99"/>
    <w:rPr>
      <w:sz w:val="18"/>
      <w:szCs w:val="18"/>
    </w:rPr>
  </w:style>
  <w:style w:type="character" w:customStyle="1" w:styleId="10">
    <w:name w:val="页眉 Char"/>
    <w:basedOn w:val="8"/>
    <w:link w:val="4"/>
    <w:uiPriority w:val="99"/>
    <w:rPr>
      <w:sz w:val="18"/>
      <w:szCs w:val="18"/>
    </w:rPr>
  </w:style>
  <w:style w:type="character" w:customStyle="1" w:styleId="11">
    <w:name w:val="页脚 Char"/>
    <w:basedOn w:val="8"/>
    <w:link w:val="3"/>
    <w:uiPriority w:val="99"/>
    <w:rPr>
      <w:sz w:val="18"/>
      <w:szCs w:val="18"/>
    </w:rPr>
  </w:style>
  <w:style w:type="paragraph" w:styleId="12">
    <w:name w:val="List Paragraph"/>
    <w:basedOn w:val="1"/>
    <w:qFormat/>
    <w:uiPriority w:val="34"/>
    <w:pPr>
      <w:ind w:firstLine="420" w:firstLineChars="200"/>
    </w:pPr>
  </w:style>
  <w:style w:type="paragraph" w:customStyle="1" w:styleId="13">
    <w:name w:val="段"/>
    <w:basedOn w:val="1"/>
    <w:link w:val="14"/>
    <w:uiPriority w:val="99"/>
    <w:pPr>
      <w:widowControl/>
      <w:autoSpaceDE w:val="0"/>
      <w:autoSpaceDN w:val="0"/>
      <w:ind w:firstLine="200" w:firstLineChars="200"/>
    </w:pPr>
    <w:rPr>
      <w:rFonts w:ascii="宋体" w:hAnsi="Calibri" w:eastAsia="宋体" w:cs="Times New Roman"/>
      <w:kern w:val="0"/>
      <w:sz w:val="20"/>
      <w:szCs w:val="20"/>
    </w:rPr>
  </w:style>
  <w:style w:type="character" w:customStyle="1" w:styleId="14">
    <w:name w:val="段 Char"/>
    <w:link w:val="13"/>
    <w:uiPriority w:val="99"/>
    <w:rPr>
      <w:rFonts w:ascii="宋体" w:hAnsi="Calibri" w:eastAsia="宋体" w:cs="Times New Roman"/>
      <w:kern w:val="0"/>
      <w:sz w:val="20"/>
      <w:szCs w:val="20"/>
    </w:rPr>
  </w:style>
  <w:style w:type="paragraph" w:customStyle="1" w:styleId="15">
    <w:name w:val="正文表标题"/>
    <w:next w:val="13"/>
    <w:autoRedefine/>
    <w:qFormat/>
    <w:uiPriority w:val="0"/>
    <w:pPr>
      <w:tabs>
        <w:tab w:val="left" w:pos="360"/>
      </w:tabs>
      <w:jc w:val="center"/>
    </w:pPr>
    <w:rPr>
      <w:rFonts w:hint="eastAsia" w:ascii="黑体" w:hAnsi="Times New Roman" w:eastAsia="黑体" w:cs="Times New Roman"/>
      <w:kern w:val="0"/>
      <w:sz w:val="21"/>
      <w:szCs w:val="20"/>
      <w:lang w:val="en-US" w:eastAsia="zh-CN" w:bidi="ar-SA"/>
    </w:rPr>
  </w:style>
  <w:style w:type="character" w:customStyle="1" w:styleId="16">
    <w:name w:val="font11"/>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F&#30424;\&#19987;&#29992;&#27833;&#33026;\&#29006;&#28856;&#27833;&#39033;&#30446;\&#22242;&#20307;&#26631;&#20934;\&#26032;&#24314;%20Microsoft%20Excel%20&#24037;&#20316;&#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F&#30424;\&#19987;&#29992;&#27833;&#33026;\&#29006;&#28856;&#27833;&#39033;&#30446;\&#22242;&#20307;&#26631;&#20934;\&#26032;&#24314;%20Microsoft%20Excel%20&#24037;&#20316;&#34920;.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F&#30424;\&#19987;&#29992;&#27833;&#33026;\&#29006;&#28856;&#27833;&#39033;&#30446;\&#22242;&#20307;&#26631;&#20934;\&#26032;&#24314;%20Microsoft%20Excel%20&#24037;&#20316;&#34920;.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F&#30424;\&#19987;&#29992;&#27833;&#33026;\&#29006;&#28856;&#27833;&#39033;&#30446;\&#22242;&#20307;&#26631;&#20934;\&#26032;&#24314;%20Microsoft%20Excel%20&#24037;&#20316;&#34920;.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F&#30424;\&#19987;&#29992;&#27833;&#33026;\&#29006;&#28856;&#27833;&#39033;&#30446;\&#22242;&#20307;&#26631;&#20934;\&#26032;&#24314;%20Microsoft%20Excel%20&#24037;&#20316;&#34920;.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D:\F&#30424;\&#19987;&#29992;&#27833;&#33026;\&#29006;&#28856;&#27833;&#39033;&#30446;\&#22242;&#20307;&#26631;&#20934;\&#26032;&#24314;%20Microsoft%20Excel%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w="19050">
              <a:noFill/>
            </a:ln>
            <a:effectLst/>
          </c:spPr>
          <c:invertIfNegative val="0"/>
          <c:dLbls>
            <c:delete val="1"/>
          </c:dLbls>
          <c:cat>
            <c:numRef>
              <c:f>Sheet2!$E$5:$E$9</c:f>
              <c:numCache>
                <c:formatCode>General</c:formatCode>
                <c:ptCount val="5"/>
                <c:pt idx="0">
                  <c:v>18</c:v>
                </c:pt>
                <c:pt idx="1">
                  <c:v>20.2</c:v>
                </c:pt>
                <c:pt idx="2">
                  <c:v>21.8</c:v>
                </c:pt>
                <c:pt idx="3">
                  <c:v>25</c:v>
                </c:pt>
                <c:pt idx="4">
                  <c:v>27.8</c:v>
                </c:pt>
              </c:numCache>
            </c:numRef>
          </c:cat>
          <c:val>
            <c:numRef>
              <c:f>Sheet2!$F$5:$F$9</c:f>
              <c:numCache>
                <c:formatCode>General</c:formatCode>
                <c:ptCount val="5"/>
                <c:pt idx="0">
                  <c:v>40</c:v>
                </c:pt>
                <c:pt idx="1">
                  <c:v>46</c:v>
                </c:pt>
                <c:pt idx="2">
                  <c:v>45</c:v>
                </c:pt>
                <c:pt idx="3">
                  <c:v>44</c:v>
                </c:pt>
                <c:pt idx="4">
                  <c:v>41</c:v>
                </c:pt>
              </c:numCache>
            </c:numRef>
          </c:val>
        </c:ser>
        <c:dLbls>
          <c:showLegendKey val="0"/>
          <c:showVal val="0"/>
          <c:showCatName val="0"/>
          <c:showSerName val="0"/>
          <c:showPercent val="0"/>
          <c:showBubbleSize val="0"/>
        </c:dLbls>
        <c:gapWidth val="150"/>
        <c:axId val="1255912512"/>
        <c:axId val="1255916320"/>
      </c:barChart>
      <c:catAx>
        <c:axId val="1255912512"/>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α-</a:t>
                </a:r>
                <a:r>
                  <a:rPr lang="zh-CN" altLang="en-US"/>
                  <a:t>生育酚当量</a:t>
                </a:r>
                <a:r>
                  <a:rPr lang="en-US" altLang="zh-CN"/>
                  <a:t>mg/100g</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5916320"/>
        <c:crosses val="autoZero"/>
        <c:auto val="1"/>
        <c:lblAlgn val="ctr"/>
        <c:lblOffset val="100"/>
        <c:noMultiLvlLbl val="0"/>
      </c:catAx>
      <c:valAx>
        <c:axId val="1255916320"/>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煎炸时间</a:t>
                </a:r>
                <a:r>
                  <a:rPr lang="en-US" altLang="zh-CN"/>
                  <a:t>/h</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591251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219816272966"/>
          <c:y val="0.0509259259259259"/>
          <c:w val="0.826891951006124"/>
          <c:h val="0.70834025955089"/>
        </c:manualLayout>
      </c:layout>
      <c:lineChart>
        <c:grouping val="standard"/>
        <c:varyColors val="0"/>
        <c:ser>
          <c:idx val="0"/>
          <c:order val="0"/>
          <c:tx>
            <c:strRef>
              <c:f>Sheet3!$D$6</c:f>
              <c:strCache>
                <c:ptCount val="1"/>
                <c:pt idx="0">
                  <c:v>18mg/100g</c:v>
                </c:pt>
              </c:strCache>
            </c:strRef>
          </c:tx>
          <c:spPr>
            <a:ln w="28575" cap="rnd">
              <a:solidFill>
                <a:schemeClr val="accent1"/>
              </a:solidFill>
              <a:round/>
            </a:ln>
            <a:effectLst/>
          </c:spPr>
          <c:marker>
            <c:symbol val="none"/>
          </c:marker>
          <c:dLbls>
            <c:delete val="1"/>
          </c:dLbls>
          <c:cat>
            <c:numRef>
              <c:f>Sheet3!$C$7:$C$69</c:f>
              <c:numCache>
                <c:formatCode>0_);[Red]\(0\)</c:formatCode>
                <c:ptCount val="63"/>
                <c:pt idx="0" c:formatCode="0_);[Red]\(0\)">
                  <c:v>0</c:v>
                </c:pt>
                <c:pt idx="1" c:formatCode="0_);[Red]\(0\)">
                  <c:v>0.5</c:v>
                </c:pt>
                <c:pt idx="2" c:formatCode="0_);[Red]\(0\)">
                  <c:v>1</c:v>
                </c:pt>
                <c:pt idx="3" c:formatCode="0_);[Red]\(0\)">
                  <c:v>1.5</c:v>
                </c:pt>
                <c:pt idx="4" c:formatCode="0_);[Red]\(0\)">
                  <c:v>2</c:v>
                </c:pt>
                <c:pt idx="5" c:formatCode="0_);[Red]\(0\)">
                  <c:v>2.5</c:v>
                </c:pt>
                <c:pt idx="6" c:formatCode="0_);[Red]\(0\)">
                  <c:v>3</c:v>
                </c:pt>
                <c:pt idx="7" c:formatCode="0_);[Red]\(0\)">
                  <c:v>3.5</c:v>
                </c:pt>
                <c:pt idx="8" c:formatCode="0_);[Red]\(0\)">
                  <c:v>4</c:v>
                </c:pt>
                <c:pt idx="9" c:formatCode="0_);[Red]\(0\)">
                  <c:v>4.5</c:v>
                </c:pt>
                <c:pt idx="10" c:formatCode="0_);[Red]\(0\)">
                  <c:v>5</c:v>
                </c:pt>
                <c:pt idx="11" c:formatCode="0_);[Red]\(0\)">
                  <c:v>5.5</c:v>
                </c:pt>
                <c:pt idx="12" c:formatCode="0_);[Red]\(0\)">
                  <c:v>6</c:v>
                </c:pt>
                <c:pt idx="13" c:formatCode="0_);[Red]\(0\)">
                  <c:v>6.5</c:v>
                </c:pt>
                <c:pt idx="14" c:formatCode="0_);[Red]\(0\)">
                  <c:v>7</c:v>
                </c:pt>
                <c:pt idx="15" c:formatCode="0_);[Red]\(0\)">
                  <c:v>7.5</c:v>
                </c:pt>
                <c:pt idx="16" c:formatCode="0_);[Red]\(0\)">
                  <c:v>9</c:v>
                </c:pt>
                <c:pt idx="17" c:formatCode="0_);[Red]\(0\)">
                  <c:v>9.5</c:v>
                </c:pt>
                <c:pt idx="18" c:formatCode="0_);[Red]\(0\)">
                  <c:v>10</c:v>
                </c:pt>
                <c:pt idx="19" c:formatCode="0_);[Red]\(0\)">
                  <c:v>10.5</c:v>
                </c:pt>
                <c:pt idx="20" c:formatCode="0_);[Red]\(0\)">
                  <c:v>11</c:v>
                </c:pt>
                <c:pt idx="21" c:formatCode="0_);[Red]\(0\)">
                  <c:v>11.5</c:v>
                </c:pt>
                <c:pt idx="22" c:formatCode="0_);[Red]\(0\)">
                  <c:v>12</c:v>
                </c:pt>
                <c:pt idx="23" c:formatCode="0_);[Red]\(0\)">
                  <c:v>12.5</c:v>
                </c:pt>
                <c:pt idx="24" c:formatCode="0_);[Red]\(0\)">
                  <c:v>13.5</c:v>
                </c:pt>
                <c:pt idx="25" c:formatCode="0_);[Red]\(0\)">
                  <c:v>14</c:v>
                </c:pt>
                <c:pt idx="26" c:formatCode="0_);[Red]\(0\)">
                  <c:v>15</c:v>
                </c:pt>
                <c:pt idx="27" c:formatCode="0_);[Red]\(0\)">
                  <c:v>16</c:v>
                </c:pt>
                <c:pt idx="28" c:formatCode="0_);[Red]\(0\)">
                  <c:v>17</c:v>
                </c:pt>
                <c:pt idx="29" c:formatCode="0_);[Red]\(0\)">
                  <c:v>18</c:v>
                </c:pt>
                <c:pt idx="30" c:formatCode="0_);[Red]\(0\)">
                  <c:v>18.5</c:v>
                </c:pt>
                <c:pt idx="31" c:formatCode="0_);[Red]\(0\)">
                  <c:v>19</c:v>
                </c:pt>
                <c:pt idx="32" c:formatCode="0_);[Red]\(0\)">
                  <c:v>19.5</c:v>
                </c:pt>
                <c:pt idx="33" c:formatCode="0_);[Red]\(0\)">
                  <c:v>20</c:v>
                </c:pt>
                <c:pt idx="34" c:formatCode="0_);[Red]\(0\)">
                  <c:v>21</c:v>
                </c:pt>
                <c:pt idx="35" c:formatCode="0_);[Red]\(0\)">
                  <c:v>21.5</c:v>
                </c:pt>
                <c:pt idx="36" c:formatCode="0_);[Red]\(0\)">
                  <c:v>22</c:v>
                </c:pt>
                <c:pt idx="37" c:formatCode="0_);[Red]\(0\)">
                  <c:v>23</c:v>
                </c:pt>
                <c:pt idx="38" c:formatCode="0_);[Red]\(0\)">
                  <c:v>24</c:v>
                </c:pt>
                <c:pt idx="39" c:formatCode="0_);[Red]\(0\)">
                  <c:v>25</c:v>
                </c:pt>
                <c:pt idx="40" c:formatCode="0_);[Red]\(0\)">
                  <c:v>26</c:v>
                </c:pt>
                <c:pt idx="41" c:formatCode="0_);[Red]\(0\)">
                  <c:v>27.5</c:v>
                </c:pt>
                <c:pt idx="42" c:formatCode="0_);[Red]\(0\)">
                  <c:v>28.5</c:v>
                </c:pt>
                <c:pt idx="43" c:formatCode="0_);[Red]\(0\)">
                  <c:v>29</c:v>
                </c:pt>
                <c:pt idx="44" c:formatCode="0_);[Red]\(0\)">
                  <c:v>30</c:v>
                </c:pt>
                <c:pt idx="45" c:formatCode="0_);[Red]\(0\)">
                  <c:v>31</c:v>
                </c:pt>
                <c:pt idx="46" c:formatCode="0_);[Red]\(0\)">
                  <c:v>32</c:v>
                </c:pt>
                <c:pt idx="47" c:formatCode="0_);[Red]\(0\)">
                  <c:v>33</c:v>
                </c:pt>
                <c:pt idx="48" c:formatCode="0_);[Red]\(0\)">
                  <c:v>34</c:v>
                </c:pt>
                <c:pt idx="49" c:formatCode="0_);[Red]\(0\)">
                  <c:v>35</c:v>
                </c:pt>
                <c:pt idx="50" c:formatCode="0_);[Red]\(0\)">
                  <c:v>36</c:v>
                </c:pt>
                <c:pt idx="51" c:formatCode="0_);[Red]\(0\)">
                  <c:v>37</c:v>
                </c:pt>
                <c:pt idx="52" c:formatCode="0_);[Red]\(0\)">
                  <c:v>38</c:v>
                </c:pt>
                <c:pt idx="53" c:formatCode="0_);[Red]\(0\)">
                  <c:v>39</c:v>
                </c:pt>
                <c:pt idx="54" c:formatCode="0_);[Red]\(0\)">
                  <c:v>40</c:v>
                </c:pt>
                <c:pt idx="55" c:formatCode="0_);[Red]\(0\)">
                  <c:v>40.5</c:v>
                </c:pt>
                <c:pt idx="56" c:formatCode="0_);[Red]\(0\)">
                  <c:v>41</c:v>
                </c:pt>
                <c:pt idx="57" c:formatCode="0_);[Red]\(0\)">
                  <c:v>42</c:v>
                </c:pt>
                <c:pt idx="58" c:formatCode="0_);[Red]\(0\)">
                  <c:v>43</c:v>
                </c:pt>
                <c:pt idx="59" c:formatCode="0_);[Red]\(0\)">
                  <c:v>44</c:v>
                </c:pt>
                <c:pt idx="60" c:formatCode="0_);[Red]\(0\)">
                  <c:v>44.5</c:v>
                </c:pt>
                <c:pt idx="61" c:formatCode="0_);[Red]\(0\)">
                  <c:v>45</c:v>
                </c:pt>
                <c:pt idx="62" c:formatCode="0_);[Red]\(0\)">
                  <c:v>45.5</c:v>
                </c:pt>
              </c:numCache>
            </c:numRef>
          </c:cat>
          <c:val>
            <c:numRef>
              <c:f>Sheet3!$D$7:$D$69</c:f>
              <c:numCache>
                <c:formatCode>General</c:formatCode>
                <c:ptCount val="63"/>
                <c:pt idx="0">
                  <c:v>8.6</c:v>
                </c:pt>
                <c:pt idx="1">
                  <c:v>10.1</c:v>
                </c:pt>
                <c:pt idx="2">
                  <c:v>10</c:v>
                </c:pt>
                <c:pt idx="3">
                  <c:v>10.8</c:v>
                </c:pt>
                <c:pt idx="4">
                  <c:v>9.9</c:v>
                </c:pt>
                <c:pt idx="5">
                  <c:v>10.4</c:v>
                </c:pt>
                <c:pt idx="6">
                  <c:v>12.4</c:v>
                </c:pt>
                <c:pt idx="7">
                  <c:v>11.8</c:v>
                </c:pt>
                <c:pt idx="8">
                  <c:v>11.3</c:v>
                </c:pt>
                <c:pt idx="9">
                  <c:v>12</c:v>
                </c:pt>
                <c:pt idx="10">
                  <c:v>14.7</c:v>
                </c:pt>
                <c:pt idx="11">
                  <c:v>13.2</c:v>
                </c:pt>
                <c:pt idx="12">
                  <c:v>13.2</c:v>
                </c:pt>
                <c:pt idx="13">
                  <c:v>13.4</c:v>
                </c:pt>
                <c:pt idx="14">
                  <c:v>14.7</c:v>
                </c:pt>
                <c:pt idx="15">
                  <c:v>15.3</c:v>
                </c:pt>
                <c:pt idx="16">
                  <c:v>13.8</c:v>
                </c:pt>
                <c:pt idx="17">
                  <c:v>15.8</c:v>
                </c:pt>
                <c:pt idx="18">
                  <c:v>14.6</c:v>
                </c:pt>
                <c:pt idx="19">
                  <c:v>16.2</c:v>
                </c:pt>
                <c:pt idx="20">
                  <c:v>15.2</c:v>
                </c:pt>
                <c:pt idx="21">
                  <c:v>15.3</c:v>
                </c:pt>
                <c:pt idx="22">
                  <c:v>16.6</c:v>
                </c:pt>
                <c:pt idx="23">
                  <c:v>15.4</c:v>
                </c:pt>
                <c:pt idx="24">
                  <c:v>17</c:v>
                </c:pt>
                <c:pt idx="25">
                  <c:v>16.8</c:v>
                </c:pt>
                <c:pt idx="26">
                  <c:v>16.5</c:v>
                </c:pt>
                <c:pt idx="27">
                  <c:v>17</c:v>
                </c:pt>
                <c:pt idx="28">
                  <c:v>17.4</c:v>
                </c:pt>
                <c:pt idx="29">
                  <c:v>17.8</c:v>
                </c:pt>
                <c:pt idx="30">
                  <c:v>17.7</c:v>
                </c:pt>
                <c:pt idx="31">
                  <c:v>19.3</c:v>
                </c:pt>
                <c:pt idx="32">
                  <c:v>18.7</c:v>
                </c:pt>
                <c:pt idx="33">
                  <c:v>19</c:v>
                </c:pt>
                <c:pt idx="34">
                  <c:v>18.6</c:v>
                </c:pt>
                <c:pt idx="35">
                  <c:v>19</c:v>
                </c:pt>
                <c:pt idx="36">
                  <c:v>18.8</c:v>
                </c:pt>
                <c:pt idx="37">
                  <c:v>19.6</c:v>
                </c:pt>
                <c:pt idx="38">
                  <c:v>20.1</c:v>
                </c:pt>
                <c:pt idx="39">
                  <c:v>21.5</c:v>
                </c:pt>
                <c:pt idx="40">
                  <c:v>20.6</c:v>
                </c:pt>
                <c:pt idx="41">
                  <c:v>20.1</c:v>
                </c:pt>
                <c:pt idx="42">
                  <c:v>21</c:v>
                </c:pt>
                <c:pt idx="43">
                  <c:v>22.4</c:v>
                </c:pt>
                <c:pt idx="44">
                  <c:v>21.9</c:v>
                </c:pt>
                <c:pt idx="45">
                  <c:v>22.8</c:v>
                </c:pt>
                <c:pt idx="46">
                  <c:v>22.4</c:v>
                </c:pt>
                <c:pt idx="47">
                  <c:v>22.3</c:v>
                </c:pt>
                <c:pt idx="48">
                  <c:v>22.4</c:v>
                </c:pt>
                <c:pt idx="49">
                  <c:v>22.7</c:v>
                </c:pt>
                <c:pt idx="50">
                  <c:v>23.5</c:v>
                </c:pt>
                <c:pt idx="51">
                  <c:v>23.8</c:v>
                </c:pt>
                <c:pt idx="52">
                  <c:v>25</c:v>
                </c:pt>
                <c:pt idx="53">
                  <c:v>25.3</c:v>
                </c:pt>
                <c:pt idx="54">
                  <c:v>26.7</c:v>
                </c:pt>
                <c:pt idx="55">
                  <c:v>27.1</c:v>
                </c:pt>
                <c:pt idx="56">
                  <c:v>27.8</c:v>
                </c:pt>
                <c:pt idx="57">
                  <c:v>27.8</c:v>
                </c:pt>
                <c:pt idx="58">
                  <c:v>27.9</c:v>
                </c:pt>
                <c:pt idx="59">
                  <c:v>28.4</c:v>
                </c:pt>
                <c:pt idx="60">
                  <c:v>28.1</c:v>
                </c:pt>
                <c:pt idx="61">
                  <c:v>28.7</c:v>
                </c:pt>
                <c:pt idx="62">
                  <c:v>28.3</c:v>
                </c:pt>
              </c:numCache>
            </c:numRef>
          </c:val>
          <c:smooth val="0"/>
        </c:ser>
        <c:ser>
          <c:idx val="1"/>
          <c:order val="1"/>
          <c:tx>
            <c:strRef>
              <c:f>Sheet3!$E$6</c:f>
              <c:strCache>
                <c:ptCount val="1"/>
                <c:pt idx="0">
                  <c:v>20.2mg/100g</c:v>
                </c:pt>
              </c:strCache>
            </c:strRef>
          </c:tx>
          <c:spPr>
            <a:ln w="28575" cap="rnd">
              <a:solidFill>
                <a:schemeClr val="accent2"/>
              </a:solidFill>
              <a:round/>
            </a:ln>
            <a:effectLst/>
          </c:spPr>
          <c:marker>
            <c:symbol val="none"/>
          </c:marker>
          <c:dLbls>
            <c:delete val="1"/>
          </c:dLbls>
          <c:cat>
            <c:numRef>
              <c:f>Sheet3!$C$7:$C$69</c:f>
              <c:numCache>
                <c:formatCode>0_);[Red]\(0\)</c:formatCode>
                <c:ptCount val="63"/>
                <c:pt idx="0" c:formatCode="0_);[Red]\(0\)">
                  <c:v>0</c:v>
                </c:pt>
                <c:pt idx="1" c:formatCode="0_);[Red]\(0\)">
                  <c:v>0.5</c:v>
                </c:pt>
                <c:pt idx="2" c:formatCode="0_);[Red]\(0\)">
                  <c:v>1</c:v>
                </c:pt>
                <c:pt idx="3" c:formatCode="0_);[Red]\(0\)">
                  <c:v>1.5</c:v>
                </c:pt>
                <c:pt idx="4" c:formatCode="0_);[Red]\(0\)">
                  <c:v>2</c:v>
                </c:pt>
                <c:pt idx="5" c:formatCode="0_);[Red]\(0\)">
                  <c:v>2.5</c:v>
                </c:pt>
                <c:pt idx="6" c:formatCode="0_);[Red]\(0\)">
                  <c:v>3</c:v>
                </c:pt>
                <c:pt idx="7" c:formatCode="0_);[Red]\(0\)">
                  <c:v>3.5</c:v>
                </c:pt>
                <c:pt idx="8" c:formatCode="0_);[Red]\(0\)">
                  <c:v>4</c:v>
                </c:pt>
                <c:pt idx="9" c:formatCode="0_);[Red]\(0\)">
                  <c:v>4.5</c:v>
                </c:pt>
                <c:pt idx="10" c:formatCode="0_);[Red]\(0\)">
                  <c:v>5</c:v>
                </c:pt>
                <c:pt idx="11" c:formatCode="0_);[Red]\(0\)">
                  <c:v>5.5</c:v>
                </c:pt>
                <c:pt idx="12" c:formatCode="0_);[Red]\(0\)">
                  <c:v>6</c:v>
                </c:pt>
                <c:pt idx="13" c:formatCode="0_);[Red]\(0\)">
                  <c:v>6.5</c:v>
                </c:pt>
                <c:pt idx="14" c:formatCode="0_);[Red]\(0\)">
                  <c:v>7</c:v>
                </c:pt>
                <c:pt idx="15" c:formatCode="0_);[Red]\(0\)">
                  <c:v>7.5</c:v>
                </c:pt>
                <c:pt idx="16" c:formatCode="0_);[Red]\(0\)">
                  <c:v>9</c:v>
                </c:pt>
                <c:pt idx="17" c:formatCode="0_);[Red]\(0\)">
                  <c:v>9.5</c:v>
                </c:pt>
                <c:pt idx="18" c:formatCode="0_);[Red]\(0\)">
                  <c:v>10</c:v>
                </c:pt>
                <c:pt idx="19" c:formatCode="0_);[Red]\(0\)">
                  <c:v>10.5</c:v>
                </c:pt>
                <c:pt idx="20" c:formatCode="0_);[Red]\(0\)">
                  <c:v>11</c:v>
                </c:pt>
                <c:pt idx="21" c:formatCode="0_);[Red]\(0\)">
                  <c:v>11.5</c:v>
                </c:pt>
                <c:pt idx="22" c:formatCode="0_);[Red]\(0\)">
                  <c:v>12</c:v>
                </c:pt>
                <c:pt idx="23" c:formatCode="0_);[Red]\(0\)">
                  <c:v>12.5</c:v>
                </c:pt>
                <c:pt idx="24" c:formatCode="0_);[Red]\(0\)">
                  <c:v>13.5</c:v>
                </c:pt>
                <c:pt idx="25" c:formatCode="0_);[Red]\(0\)">
                  <c:v>14</c:v>
                </c:pt>
                <c:pt idx="26" c:formatCode="0_);[Red]\(0\)">
                  <c:v>15</c:v>
                </c:pt>
                <c:pt idx="27" c:formatCode="0_);[Red]\(0\)">
                  <c:v>16</c:v>
                </c:pt>
                <c:pt idx="28" c:formatCode="0_);[Red]\(0\)">
                  <c:v>17</c:v>
                </c:pt>
                <c:pt idx="29" c:formatCode="0_);[Red]\(0\)">
                  <c:v>18</c:v>
                </c:pt>
                <c:pt idx="30" c:formatCode="0_);[Red]\(0\)">
                  <c:v>18.5</c:v>
                </c:pt>
                <c:pt idx="31" c:formatCode="0_);[Red]\(0\)">
                  <c:v>19</c:v>
                </c:pt>
                <c:pt idx="32" c:formatCode="0_);[Red]\(0\)">
                  <c:v>19.5</c:v>
                </c:pt>
                <c:pt idx="33" c:formatCode="0_);[Red]\(0\)">
                  <c:v>20</c:v>
                </c:pt>
                <c:pt idx="34" c:formatCode="0_);[Red]\(0\)">
                  <c:v>21</c:v>
                </c:pt>
                <c:pt idx="35" c:formatCode="0_);[Red]\(0\)">
                  <c:v>21.5</c:v>
                </c:pt>
                <c:pt idx="36" c:formatCode="0_);[Red]\(0\)">
                  <c:v>22</c:v>
                </c:pt>
                <c:pt idx="37" c:formatCode="0_);[Red]\(0\)">
                  <c:v>23</c:v>
                </c:pt>
                <c:pt idx="38" c:formatCode="0_);[Red]\(0\)">
                  <c:v>24</c:v>
                </c:pt>
                <c:pt idx="39" c:formatCode="0_);[Red]\(0\)">
                  <c:v>25</c:v>
                </c:pt>
                <c:pt idx="40" c:formatCode="0_);[Red]\(0\)">
                  <c:v>26</c:v>
                </c:pt>
                <c:pt idx="41" c:formatCode="0_);[Red]\(0\)">
                  <c:v>27.5</c:v>
                </c:pt>
                <c:pt idx="42" c:formatCode="0_);[Red]\(0\)">
                  <c:v>28.5</c:v>
                </c:pt>
                <c:pt idx="43" c:formatCode="0_);[Red]\(0\)">
                  <c:v>29</c:v>
                </c:pt>
                <c:pt idx="44" c:formatCode="0_);[Red]\(0\)">
                  <c:v>30</c:v>
                </c:pt>
                <c:pt idx="45" c:formatCode="0_);[Red]\(0\)">
                  <c:v>31</c:v>
                </c:pt>
                <c:pt idx="46" c:formatCode="0_);[Red]\(0\)">
                  <c:v>32</c:v>
                </c:pt>
                <c:pt idx="47" c:formatCode="0_);[Red]\(0\)">
                  <c:v>33</c:v>
                </c:pt>
                <c:pt idx="48" c:formatCode="0_);[Red]\(0\)">
                  <c:v>34</c:v>
                </c:pt>
                <c:pt idx="49" c:formatCode="0_);[Red]\(0\)">
                  <c:v>35</c:v>
                </c:pt>
                <c:pt idx="50" c:formatCode="0_);[Red]\(0\)">
                  <c:v>36</c:v>
                </c:pt>
                <c:pt idx="51" c:formatCode="0_);[Red]\(0\)">
                  <c:v>37</c:v>
                </c:pt>
                <c:pt idx="52" c:formatCode="0_);[Red]\(0\)">
                  <c:v>38</c:v>
                </c:pt>
                <c:pt idx="53" c:formatCode="0_);[Red]\(0\)">
                  <c:v>39</c:v>
                </c:pt>
                <c:pt idx="54" c:formatCode="0_);[Red]\(0\)">
                  <c:v>40</c:v>
                </c:pt>
                <c:pt idx="55" c:formatCode="0_);[Red]\(0\)">
                  <c:v>40.5</c:v>
                </c:pt>
                <c:pt idx="56" c:formatCode="0_);[Red]\(0\)">
                  <c:v>41</c:v>
                </c:pt>
                <c:pt idx="57" c:formatCode="0_);[Red]\(0\)">
                  <c:v>42</c:v>
                </c:pt>
                <c:pt idx="58" c:formatCode="0_);[Red]\(0\)">
                  <c:v>43</c:v>
                </c:pt>
                <c:pt idx="59" c:formatCode="0_);[Red]\(0\)">
                  <c:v>44</c:v>
                </c:pt>
                <c:pt idx="60" c:formatCode="0_);[Red]\(0\)">
                  <c:v>44.5</c:v>
                </c:pt>
                <c:pt idx="61" c:formatCode="0_);[Red]\(0\)">
                  <c:v>45</c:v>
                </c:pt>
                <c:pt idx="62" c:formatCode="0_);[Red]\(0\)">
                  <c:v>45.5</c:v>
                </c:pt>
              </c:numCache>
            </c:numRef>
          </c:cat>
          <c:val>
            <c:numRef>
              <c:f>Sheet3!$E$7:$E$69</c:f>
              <c:numCache>
                <c:formatCode>General</c:formatCode>
                <c:ptCount val="63"/>
                <c:pt idx="0">
                  <c:v>8.5</c:v>
                </c:pt>
                <c:pt idx="1">
                  <c:v>8.4</c:v>
                </c:pt>
                <c:pt idx="2">
                  <c:v>8.4</c:v>
                </c:pt>
                <c:pt idx="3">
                  <c:v>9.7</c:v>
                </c:pt>
                <c:pt idx="4">
                  <c:v>8.3</c:v>
                </c:pt>
                <c:pt idx="5">
                  <c:v>8.9</c:v>
                </c:pt>
                <c:pt idx="6">
                  <c:v>9.4</c:v>
                </c:pt>
                <c:pt idx="7">
                  <c:v>12.5</c:v>
                </c:pt>
                <c:pt idx="8">
                  <c:v>9.3</c:v>
                </c:pt>
                <c:pt idx="9">
                  <c:v>11.1</c:v>
                </c:pt>
                <c:pt idx="10">
                  <c:v>12</c:v>
                </c:pt>
                <c:pt idx="11">
                  <c:v>10.7</c:v>
                </c:pt>
                <c:pt idx="12">
                  <c:v>10.8</c:v>
                </c:pt>
                <c:pt idx="13">
                  <c:v>10.1</c:v>
                </c:pt>
                <c:pt idx="14">
                  <c:v>12</c:v>
                </c:pt>
                <c:pt idx="15">
                  <c:v>12.5</c:v>
                </c:pt>
                <c:pt idx="16">
                  <c:v>11.5</c:v>
                </c:pt>
                <c:pt idx="17">
                  <c:v>12.7</c:v>
                </c:pt>
                <c:pt idx="18">
                  <c:v>11.6</c:v>
                </c:pt>
                <c:pt idx="19">
                  <c:v>12.9</c:v>
                </c:pt>
                <c:pt idx="20">
                  <c:v>11.8</c:v>
                </c:pt>
                <c:pt idx="21">
                  <c:v>12.9</c:v>
                </c:pt>
                <c:pt idx="22">
                  <c:v>12.4</c:v>
                </c:pt>
                <c:pt idx="23">
                  <c:v>11.8</c:v>
                </c:pt>
                <c:pt idx="24">
                  <c:v>12.9</c:v>
                </c:pt>
                <c:pt idx="25">
                  <c:v>13.6</c:v>
                </c:pt>
                <c:pt idx="26">
                  <c:v>14.6</c:v>
                </c:pt>
                <c:pt idx="27">
                  <c:v>13.2</c:v>
                </c:pt>
                <c:pt idx="28">
                  <c:v>14.1</c:v>
                </c:pt>
                <c:pt idx="29">
                  <c:v>14.9</c:v>
                </c:pt>
                <c:pt idx="30">
                  <c:v>13.6</c:v>
                </c:pt>
                <c:pt idx="31">
                  <c:v>15.4</c:v>
                </c:pt>
                <c:pt idx="32">
                  <c:v>14.6</c:v>
                </c:pt>
                <c:pt idx="33">
                  <c:v>14.7</c:v>
                </c:pt>
                <c:pt idx="34">
                  <c:v>14</c:v>
                </c:pt>
                <c:pt idx="35">
                  <c:v>16.6</c:v>
                </c:pt>
                <c:pt idx="36">
                  <c:v>15.8</c:v>
                </c:pt>
                <c:pt idx="37">
                  <c:v>16.4</c:v>
                </c:pt>
                <c:pt idx="38">
                  <c:v>16.7</c:v>
                </c:pt>
                <c:pt idx="39">
                  <c:v>18</c:v>
                </c:pt>
                <c:pt idx="40">
                  <c:v>17.5</c:v>
                </c:pt>
                <c:pt idx="41">
                  <c:v>17.2</c:v>
                </c:pt>
                <c:pt idx="42">
                  <c:v>17.4</c:v>
                </c:pt>
                <c:pt idx="43">
                  <c:v>18.3</c:v>
                </c:pt>
                <c:pt idx="44">
                  <c:v>18.2</c:v>
                </c:pt>
                <c:pt idx="45">
                  <c:v>20.1</c:v>
                </c:pt>
                <c:pt idx="46">
                  <c:v>18.8</c:v>
                </c:pt>
                <c:pt idx="47">
                  <c:v>18.5</c:v>
                </c:pt>
                <c:pt idx="48">
                  <c:v>19.2</c:v>
                </c:pt>
                <c:pt idx="49">
                  <c:v>19.2</c:v>
                </c:pt>
                <c:pt idx="50">
                  <c:v>19.9</c:v>
                </c:pt>
                <c:pt idx="51">
                  <c:v>19.9</c:v>
                </c:pt>
                <c:pt idx="52">
                  <c:v>20.5</c:v>
                </c:pt>
                <c:pt idx="53">
                  <c:v>21.7</c:v>
                </c:pt>
                <c:pt idx="54">
                  <c:v>22.6</c:v>
                </c:pt>
                <c:pt idx="55">
                  <c:v>24</c:v>
                </c:pt>
                <c:pt idx="56">
                  <c:v>24.3</c:v>
                </c:pt>
                <c:pt idx="57">
                  <c:v>24.3</c:v>
                </c:pt>
                <c:pt idx="58">
                  <c:v>24.1</c:v>
                </c:pt>
                <c:pt idx="59">
                  <c:v>23.5</c:v>
                </c:pt>
                <c:pt idx="60">
                  <c:v>23.8</c:v>
                </c:pt>
                <c:pt idx="61">
                  <c:v>24.5</c:v>
                </c:pt>
                <c:pt idx="62">
                  <c:v>24.8</c:v>
                </c:pt>
              </c:numCache>
            </c:numRef>
          </c:val>
          <c:smooth val="0"/>
        </c:ser>
        <c:ser>
          <c:idx val="2"/>
          <c:order val="2"/>
          <c:tx>
            <c:strRef>
              <c:f>Sheet3!$F$6</c:f>
              <c:strCache>
                <c:ptCount val="1"/>
                <c:pt idx="0">
                  <c:v>21.8mg/100g</c:v>
                </c:pt>
              </c:strCache>
            </c:strRef>
          </c:tx>
          <c:spPr>
            <a:ln w="28575" cap="rnd">
              <a:solidFill>
                <a:schemeClr val="accent3"/>
              </a:solidFill>
              <a:round/>
            </a:ln>
            <a:effectLst/>
          </c:spPr>
          <c:marker>
            <c:symbol val="none"/>
          </c:marker>
          <c:dLbls>
            <c:delete val="1"/>
          </c:dLbls>
          <c:cat>
            <c:numRef>
              <c:f>Sheet3!$C$7:$C$69</c:f>
              <c:numCache>
                <c:formatCode>0_);[Red]\(0\)</c:formatCode>
                <c:ptCount val="63"/>
                <c:pt idx="0" c:formatCode="0_);[Red]\(0\)">
                  <c:v>0</c:v>
                </c:pt>
                <c:pt idx="1" c:formatCode="0_);[Red]\(0\)">
                  <c:v>0.5</c:v>
                </c:pt>
                <c:pt idx="2" c:formatCode="0_);[Red]\(0\)">
                  <c:v>1</c:v>
                </c:pt>
                <c:pt idx="3" c:formatCode="0_);[Red]\(0\)">
                  <c:v>1.5</c:v>
                </c:pt>
                <c:pt idx="4" c:formatCode="0_);[Red]\(0\)">
                  <c:v>2</c:v>
                </c:pt>
                <c:pt idx="5" c:formatCode="0_);[Red]\(0\)">
                  <c:v>2.5</c:v>
                </c:pt>
                <c:pt idx="6" c:formatCode="0_);[Red]\(0\)">
                  <c:v>3</c:v>
                </c:pt>
                <c:pt idx="7" c:formatCode="0_);[Red]\(0\)">
                  <c:v>3.5</c:v>
                </c:pt>
                <c:pt idx="8" c:formatCode="0_);[Red]\(0\)">
                  <c:v>4</c:v>
                </c:pt>
                <c:pt idx="9" c:formatCode="0_);[Red]\(0\)">
                  <c:v>4.5</c:v>
                </c:pt>
                <c:pt idx="10" c:formatCode="0_);[Red]\(0\)">
                  <c:v>5</c:v>
                </c:pt>
                <c:pt idx="11" c:formatCode="0_);[Red]\(0\)">
                  <c:v>5.5</c:v>
                </c:pt>
                <c:pt idx="12" c:formatCode="0_);[Red]\(0\)">
                  <c:v>6</c:v>
                </c:pt>
                <c:pt idx="13" c:formatCode="0_);[Red]\(0\)">
                  <c:v>6.5</c:v>
                </c:pt>
                <c:pt idx="14" c:formatCode="0_);[Red]\(0\)">
                  <c:v>7</c:v>
                </c:pt>
                <c:pt idx="15" c:formatCode="0_);[Red]\(0\)">
                  <c:v>7.5</c:v>
                </c:pt>
                <c:pt idx="16" c:formatCode="0_);[Red]\(0\)">
                  <c:v>9</c:v>
                </c:pt>
                <c:pt idx="17" c:formatCode="0_);[Red]\(0\)">
                  <c:v>9.5</c:v>
                </c:pt>
                <c:pt idx="18" c:formatCode="0_);[Red]\(0\)">
                  <c:v>10</c:v>
                </c:pt>
                <c:pt idx="19" c:formatCode="0_);[Red]\(0\)">
                  <c:v>10.5</c:v>
                </c:pt>
                <c:pt idx="20" c:formatCode="0_);[Red]\(0\)">
                  <c:v>11</c:v>
                </c:pt>
                <c:pt idx="21" c:formatCode="0_);[Red]\(0\)">
                  <c:v>11.5</c:v>
                </c:pt>
                <c:pt idx="22" c:formatCode="0_);[Red]\(0\)">
                  <c:v>12</c:v>
                </c:pt>
                <c:pt idx="23" c:formatCode="0_);[Red]\(0\)">
                  <c:v>12.5</c:v>
                </c:pt>
                <c:pt idx="24" c:formatCode="0_);[Red]\(0\)">
                  <c:v>13.5</c:v>
                </c:pt>
                <c:pt idx="25" c:formatCode="0_);[Red]\(0\)">
                  <c:v>14</c:v>
                </c:pt>
                <c:pt idx="26" c:formatCode="0_);[Red]\(0\)">
                  <c:v>15</c:v>
                </c:pt>
                <c:pt idx="27" c:formatCode="0_);[Red]\(0\)">
                  <c:v>16</c:v>
                </c:pt>
                <c:pt idx="28" c:formatCode="0_);[Red]\(0\)">
                  <c:v>17</c:v>
                </c:pt>
                <c:pt idx="29" c:formatCode="0_);[Red]\(0\)">
                  <c:v>18</c:v>
                </c:pt>
                <c:pt idx="30" c:formatCode="0_);[Red]\(0\)">
                  <c:v>18.5</c:v>
                </c:pt>
                <c:pt idx="31" c:formatCode="0_);[Red]\(0\)">
                  <c:v>19</c:v>
                </c:pt>
                <c:pt idx="32" c:formatCode="0_);[Red]\(0\)">
                  <c:v>19.5</c:v>
                </c:pt>
                <c:pt idx="33" c:formatCode="0_);[Red]\(0\)">
                  <c:v>20</c:v>
                </c:pt>
                <c:pt idx="34" c:formatCode="0_);[Red]\(0\)">
                  <c:v>21</c:v>
                </c:pt>
                <c:pt idx="35" c:formatCode="0_);[Red]\(0\)">
                  <c:v>21.5</c:v>
                </c:pt>
                <c:pt idx="36" c:formatCode="0_);[Red]\(0\)">
                  <c:v>22</c:v>
                </c:pt>
                <c:pt idx="37" c:formatCode="0_);[Red]\(0\)">
                  <c:v>23</c:v>
                </c:pt>
                <c:pt idx="38" c:formatCode="0_);[Red]\(0\)">
                  <c:v>24</c:v>
                </c:pt>
                <c:pt idx="39" c:formatCode="0_);[Red]\(0\)">
                  <c:v>25</c:v>
                </c:pt>
                <c:pt idx="40" c:formatCode="0_);[Red]\(0\)">
                  <c:v>26</c:v>
                </c:pt>
                <c:pt idx="41" c:formatCode="0_);[Red]\(0\)">
                  <c:v>27.5</c:v>
                </c:pt>
                <c:pt idx="42" c:formatCode="0_);[Red]\(0\)">
                  <c:v>28.5</c:v>
                </c:pt>
                <c:pt idx="43" c:formatCode="0_);[Red]\(0\)">
                  <c:v>29</c:v>
                </c:pt>
                <c:pt idx="44" c:formatCode="0_);[Red]\(0\)">
                  <c:v>30</c:v>
                </c:pt>
                <c:pt idx="45" c:formatCode="0_);[Red]\(0\)">
                  <c:v>31</c:v>
                </c:pt>
                <c:pt idx="46" c:formatCode="0_);[Red]\(0\)">
                  <c:v>32</c:v>
                </c:pt>
                <c:pt idx="47" c:formatCode="0_);[Red]\(0\)">
                  <c:v>33</c:v>
                </c:pt>
                <c:pt idx="48" c:formatCode="0_);[Red]\(0\)">
                  <c:v>34</c:v>
                </c:pt>
                <c:pt idx="49" c:formatCode="0_);[Red]\(0\)">
                  <c:v>35</c:v>
                </c:pt>
                <c:pt idx="50" c:formatCode="0_);[Red]\(0\)">
                  <c:v>36</c:v>
                </c:pt>
                <c:pt idx="51" c:formatCode="0_);[Red]\(0\)">
                  <c:v>37</c:v>
                </c:pt>
                <c:pt idx="52" c:formatCode="0_);[Red]\(0\)">
                  <c:v>38</c:v>
                </c:pt>
                <c:pt idx="53" c:formatCode="0_);[Red]\(0\)">
                  <c:v>39</c:v>
                </c:pt>
                <c:pt idx="54" c:formatCode="0_);[Red]\(0\)">
                  <c:v>40</c:v>
                </c:pt>
                <c:pt idx="55" c:formatCode="0_);[Red]\(0\)">
                  <c:v>40.5</c:v>
                </c:pt>
                <c:pt idx="56" c:formatCode="0_);[Red]\(0\)">
                  <c:v>41</c:v>
                </c:pt>
                <c:pt idx="57" c:formatCode="0_);[Red]\(0\)">
                  <c:v>42</c:v>
                </c:pt>
                <c:pt idx="58" c:formatCode="0_);[Red]\(0\)">
                  <c:v>43</c:v>
                </c:pt>
                <c:pt idx="59" c:formatCode="0_);[Red]\(0\)">
                  <c:v>44</c:v>
                </c:pt>
                <c:pt idx="60" c:formatCode="0_);[Red]\(0\)">
                  <c:v>44.5</c:v>
                </c:pt>
                <c:pt idx="61" c:formatCode="0_);[Red]\(0\)">
                  <c:v>45</c:v>
                </c:pt>
                <c:pt idx="62" c:formatCode="0_);[Red]\(0\)">
                  <c:v>45.5</c:v>
                </c:pt>
              </c:numCache>
            </c:numRef>
          </c:cat>
          <c:val>
            <c:numRef>
              <c:f>Sheet3!$F$7:$F$69</c:f>
              <c:numCache>
                <c:formatCode>General</c:formatCode>
                <c:ptCount val="63"/>
                <c:pt idx="0">
                  <c:v>8.6</c:v>
                </c:pt>
                <c:pt idx="1">
                  <c:v>9.6</c:v>
                </c:pt>
                <c:pt idx="2">
                  <c:v>9.6</c:v>
                </c:pt>
                <c:pt idx="3">
                  <c:v>10.9</c:v>
                </c:pt>
                <c:pt idx="4">
                  <c:v>9.5</c:v>
                </c:pt>
                <c:pt idx="5">
                  <c:v>10.1</c:v>
                </c:pt>
                <c:pt idx="6">
                  <c:v>10.6</c:v>
                </c:pt>
                <c:pt idx="7">
                  <c:v>13.7</c:v>
                </c:pt>
                <c:pt idx="8">
                  <c:v>10.5</c:v>
                </c:pt>
                <c:pt idx="9">
                  <c:v>12.3</c:v>
                </c:pt>
                <c:pt idx="10">
                  <c:v>13.2</c:v>
                </c:pt>
                <c:pt idx="11">
                  <c:v>11.9</c:v>
                </c:pt>
                <c:pt idx="12">
                  <c:v>12</c:v>
                </c:pt>
                <c:pt idx="13">
                  <c:v>11.3</c:v>
                </c:pt>
                <c:pt idx="14">
                  <c:v>13.2</c:v>
                </c:pt>
                <c:pt idx="15">
                  <c:v>13.7</c:v>
                </c:pt>
                <c:pt idx="16">
                  <c:v>12.7</c:v>
                </c:pt>
                <c:pt idx="17">
                  <c:v>13.9</c:v>
                </c:pt>
                <c:pt idx="18">
                  <c:v>12.8</c:v>
                </c:pt>
                <c:pt idx="19">
                  <c:v>14.1</c:v>
                </c:pt>
                <c:pt idx="20">
                  <c:v>13</c:v>
                </c:pt>
                <c:pt idx="21">
                  <c:v>14.1</c:v>
                </c:pt>
                <c:pt idx="22">
                  <c:v>13.6</c:v>
                </c:pt>
                <c:pt idx="23">
                  <c:v>13</c:v>
                </c:pt>
                <c:pt idx="24">
                  <c:v>14.1</c:v>
                </c:pt>
                <c:pt idx="25">
                  <c:v>14.8</c:v>
                </c:pt>
                <c:pt idx="26">
                  <c:v>15.8</c:v>
                </c:pt>
                <c:pt idx="27">
                  <c:v>14.4</c:v>
                </c:pt>
                <c:pt idx="28">
                  <c:v>15.3</c:v>
                </c:pt>
                <c:pt idx="29">
                  <c:v>16.1</c:v>
                </c:pt>
                <c:pt idx="30">
                  <c:v>14.8</c:v>
                </c:pt>
                <c:pt idx="31">
                  <c:v>16.6</c:v>
                </c:pt>
                <c:pt idx="32">
                  <c:v>15.8</c:v>
                </c:pt>
                <c:pt idx="33">
                  <c:v>15.9</c:v>
                </c:pt>
                <c:pt idx="34">
                  <c:v>15.2</c:v>
                </c:pt>
                <c:pt idx="35">
                  <c:v>17.8</c:v>
                </c:pt>
                <c:pt idx="36">
                  <c:v>17</c:v>
                </c:pt>
                <c:pt idx="37">
                  <c:v>17.6</c:v>
                </c:pt>
                <c:pt idx="38">
                  <c:v>17.9</c:v>
                </c:pt>
                <c:pt idx="39">
                  <c:v>19.2</c:v>
                </c:pt>
                <c:pt idx="40">
                  <c:v>18.7</c:v>
                </c:pt>
                <c:pt idx="41">
                  <c:v>18.4</c:v>
                </c:pt>
                <c:pt idx="42">
                  <c:v>18.6</c:v>
                </c:pt>
                <c:pt idx="43">
                  <c:v>19.5</c:v>
                </c:pt>
                <c:pt idx="44">
                  <c:v>19.4</c:v>
                </c:pt>
                <c:pt idx="45">
                  <c:v>21.3</c:v>
                </c:pt>
                <c:pt idx="46">
                  <c:v>20</c:v>
                </c:pt>
                <c:pt idx="47">
                  <c:v>19.7</c:v>
                </c:pt>
                <c:pt idx="48">
                  <c:v>20.4</c:v>
                </c:pt>
                <c:pt idx="49">
                  <c:v>20.4</c:v>
                </c:pt>
                <c:pt idx="50">
                  <c:v>21.1</c:v>
                </c:pt>
                <c:pt idx="51">
                  <c:v>21.1</c:v>
                </c:pt>
                <c:pt idx="52">
                  <c:v>21.7</c:v>
                </c:pt>
                <c:pt idx="53">
                  <c:v>22.9</c:v>
                </c:pt>
                <c:pt idx="54">
                  <c:v>23.8</c:v>
                </c:pt>
                <c:pt idx="55">
                  <c:v>25.2</c:v>
                </c:pt>
                <c:pt idx="56">
                  <c:v>25.5</c:v>
                </c:pt>
                <c:pt idx="57">
                  <c:v>25.5</c:v>
                </c:pt>
                <c:pt idx="58">
                  <c:v>25.3</c:v>
                </c:pt>
                <c:pt idx="59">
                  <c:v>24.7</c:v>
                </c:pt>
                <c:pt idx="60">
                  <c:v>25</c:v>
                </c:pt>
                <c:pt idx="61">
                  <c:v>26.2</c:v>
                </c:pt>
                <c:pt idx="62">
                  <c:v>26.5</c:v>
                </c:pt>
              </c:numCache>
            </c:numRef>
          </c:val>
          <c:smooth val="0"/>
        </c:ser>
        <c:ser>
          <c:idx val="3"/>
          <c:order val="3"/>
          <c:tx>
            <c:strRef>
              <c:f>Sheet3!$G$6</c:f>
              <c:strCache>
                <c:ptCount val="1"/>
                <c:pt idx="0">
                  <c:v>25mg/100g</c:v>
                </c:pt>
              </c:strCache>
            </c:strRef>
          </c:tx>
          <c:spPr>
            <a:ln w="28575" cap="rnd">
              <a:solidFill>
                <a:schemeClr val="accent4"/>
              </a:solidFill>
              <a:round/>
            </a:ln>
            <a:effectLst/>
          </c:spPr>
          <c:marker>
            <c:symbol val="none"/>
          </c:marker>
          <c:dLbls>
            <c:delete val="1"/>
          </c:dLbls>
          <c:cat>
            <c:numRef>
              <c:f>Sheet3!$C$7:$C$69</c:f>
              <c:numCache>
                <c:formatCode>0_);[Red]\(0\)</c:formatCode>
                <c:ptCount val="63"/>
                <c:pt idx="0" c:formatCode="0_);[Red]\(0\)">
                  <c:v>0</c:v>
                </c:pt>
                <c:pt idx="1" c:formatCode="0_);[Red]\(0\)">
                  <c:v>0.5</c:v>
                </c:pt>
                <c:pt idx="2" c:formatCode="0_);[Red]\(0\)">
                  <c:v>1</c:v>
                </c:pt>
                <c:pt idx="3" c:formatCode="0_);[Red]\(0\)">
                  <c:v>1.5</c:v>
                </c:pt>
                <c:pt idx="4" c:formatCode="0_);[Red]\(0\)">
                  <c:v>2</c:v>
                </c:pt>
                <c:pt idx="5" c:formatCode="0_);[Red]\(0\)">
                  <c:v>2.5</c:v>
                </c:pt>
                <c:pt idx="6" c:formatCode="0_);[Red]\(0\)">
                  <c:v>3</c:v>
                </c:pt>
                <c:pt idx="7" c:formatCode="0_);[Red]\(0\)">
                  <c:v>3.5</c:v>
                </c:pt>
                <c:pt idx="8" c:formatCode="0_);[Red]\(0\)">
                  <c:v>4</c:v>
                </c:pt>
                <c:pt idx="9" c:formatCode="0_);[Red]\(0\)">
                  <c:v>4.5</c:v>
                </c:pt>
                <c:pt idx="10" c:formatCode="0_);[Red]\(0\)">
                  <c:v>5</c:v>
                </c:pt>
                <c:pt idx="11" c:formatCode="0_);[Red]\(0\)">
                  <c:v>5.5</c:v>
                </c:pt>
                <c:pt idx="12" c:formatCode="0_);[Red]\(0\)">
                  <c:v>6</c:v>
                </c:pt>
                <c:pt idx="13" c:formatCode="0_);[Red]\(0\)">
                  <c:v>6.5</c:v>
                </c:pt>
                <c:pt idx="14" c:formatCode="0_);[Red]\(0\)">
                  <c:v>7</c:v>
                </c:pt>
                <c:pt idx="15" c:formatCode="0_);[Red]\(0\)">
                  <c:v>7.5</c:v>
                </c:pt>
                <c:pt idx="16" c:formatCode="0_);[Red]\(0\)">
                  <c:v>9</c:v>
                </c:pt>
                <c:pt idx="17" c:formatCode="0_);[Red]\(0\)">
                  <c:v>9.5</c:v>
                </c:pt>
                <c:pt idx="18" c:formatCode="0_);[Red]\(0\)">
                  <c:v>10</c:v>
                </c:pt>
                <c:pt idx="19" c:formatCode="0_);[Red]\(0\)">
                  <c:v>10.5</c:v>
                </c:pt>
                <c:pt idx="20" c:formatCode="0_);[Red]\(0\)">
                  <c:v>11</c:v>
                </c:pt>
                <c:pt idx="21" c:formatCode="0_);[Red]\(0\)">
                  <c:v>11.5</c:v>
                </c:pt>
                <c:pt idx="22" c:formatCode="0_);[Red]\(0\)">
                  <c:v>12</c:v>
                </c:pt>
                <c:pt idx="23" c:formatCode="0_);[Red]\(0\)">
                  <c:v>12.5</c:v>
                </c:pt>
                <c:pt idx="24" c:formatCode="0_);[Red]\(0\)">
                  <c:v>13.5</c:v>
                </c:pt>
                <c:pt idx="25" c:formatCode="0_);[Red]\(0\)">
                  <c:v>14</c:v>
                </c:pt>
                <c:pt idx="26" c:formatCode="0_);[Red]\(0\)">
                  <c:v>15</c:v>
                </c:pt>
                <c:pt idx="27" c:formatCode="0_);[Red]\(0\)">
                  <c:v>16</c:v>
                </c:pt>
                <c:pt idx="28" c:formatCode="0_);[Red]\(0\)">
                  <c:v>17</c:v>
                </c:pt>
                <c:pt idx="29" c:formatCode="0_);[Red]\(0\)">
                  <c:v>18</c:v>
                </c:pt>
                <c:pt idx="30" c:formatCode="0_);[Red]\(0\)">
                  <c:v>18.5</c:v>
                </c:pt>
                <c:pt idx="31" c:formatCode="0_);[Red]\(0\)">
                  <c:v>19</c:v>
                </c:pt>
                <c:pt idx="32" c:formatCode="0_);[Red]\(0\)">
                  <c:v>19.5</c:v>
                </c:pt>
                <c:pt idx="33" c:formatCode="0_);[Red]\(0\)">
                  <c:v>20</c:v>
                </c:pt>
                <c:pt idx="34" c:formatCode="0_);[Red]\(0\)">
                  <c:v>21</c:v>
                </c:pt>
                <c:pt idx="35" c:formatCode="0_);[Red]\(0\)">
                  <c:v>21.5</c:v>
                </c:pt>
                <c:pt idx="36" c:formatCode="0_);[Red]\(0\)">
                  <c:v>22</c:v>
                </c:pt>
                <c:pt idx="37" c:formatCode="0_);[Red]\(0\)">
                  <c:v>23</c:v>
                </c:pt>
                <c:pt idx="38" c:formatCode="0_);[Red]\(0\)">
                  <c:v>24</c:v>
                </c:pt>
                <c:pt idx="39" c:formatCode="0_);[Red]\(0\)">
                  <c:v>25</c:v>
                </c:pt>
                <c:pt idx="40" c:formatCode="0_);[Red]\(0\)">
                  <c:v>26</c:v>
                </c:pt>
                <c:pt idx="41" c:formatCode="0_);[Red]\(0\)">
                  <c:v>27.5</c:v>
                </c:pt>
                <c:pt idx="42" c:formatCode="0_);[Red]\(0\)">
                  <c:v>28.5</c:v>
                </c:pt>
                <c:pt idx="43" c:formatCode="0_);[Red]\(0\)">
                  <c:v>29</c:v>
                </c:pt>
                <c:pt idx="44" c:formatCode="0_);[Red]\(0\)">
                  <c:v>30</c:v>
                </c:pt>
                <c:pt idx="45" c:formatCode="0_);[Red]\(0\)">
                  <c:v>31</c:v>
                </c:pt>
                <c:pt idx="46" c:formatCode="0_);[Red]\(0\)">
                  <c:v>32</c:v>
                </c:pt>
                <c:pt idx="47" c:formatCode="0_);[Red]\(0\)">
                  <c:v>33</c:v>
                </c:pt>
                <c:pt idx="48" c:formatCode="0_);[Red]\(0\)">
                  <c:v>34</c:v>
                </c:pt>
                <c:pt idx="49" c:formatCode="0_);[Red]\(0\)">
                  <c:v>35</c:v>
                </c:pt>
                <c:pt idx="50" c:formatCode="0_);[Red]\(0\)">
                  <c:v>36</c:v>
                </c:pt>
                <c:pt idx="51" c:formatCode="0_);[Red]\(0\)">
                  <c:v>37</c:v>
                </c:pt>
                <c:pt idx="52" c:formatCode="0_);[Red]\(0\)">
                  <c:v>38</c:v>
                </c:pt>
                <c:pt idx="53" c:formatCode="0_);[Red]\(0\)">
                  <c:v>39</c:v>
                </c:pt>
                <c:pt idx="54" c:formatCode="0_);[Red]\(0\)">
                  <c:v>40</c:v>
                </c:pt>
                <c:pt idx="55" c:formatCode="0_);[Red]\(0\)">
                  <c:v>40.5</c:v>
                </c:pt>
                <c:pt idx="56" c:formatCode="0_);[Red]\(0\)">
                  <c:v>41</c:v>
                </c:pt>
                <c:pt idx="57" c:formatCode="0_);[Red]\(0\)">
                  <c:v>42</c:v>
                </c:pt>
                <c:pt idx="58" c:formatCode="0_);[Red]\(0\)">
                  <c:v>43</c:v>
                </c:pt>
                <c:pt idx="59" c:formatCode="0_);[Red]\(0\)">
                  <c:v>44</c:v>
                </c:pt>
                <c:pt idx="60" c:formatCode="0_);[Red]\(0\)">
                  <c:v>44.5</c:v>
                </c:pt>
                <c:pt idx="61" c:formatCode="0_);[Red]\(0\)">
                  <c:v>45</c:v>
                </c:pt>
                <c:pt idx="62" c:formatCode="0_);[Red]\(0\)">
                  <c:v>45.5</c:v>
                </c:pt>
              </c:numCache>
            </c:numRef>
          </c:cat>
          <c:val>
            <c:numRef>
              <c:f>Sheet3!$G$7:$G$69</c:f>
              <c:numCache>
                <c:formatCode>General</c:formatCode>
                <c:ptCount val="63"/>
                <c:pt idx="0">
                  <c:v>9.8</c:v>
                </c:pt>
                <c:pt idx="1">
                  <c:v>10.6</c:v>
                </c:pt>
                <c:pt idx="2">
                  <c:v>10.3</c:v>
                </c:pt>
                <c:pt idx="3">
                  <c:v>11.3</c:v>
                </c:pt>
                <c:pt idx="4">
                  <c:v>10.7</c:v>
                </c:pt>
                <c:pt idx="5">
                  <c:v>10.7</c:v>
                </c:pt>
                <c:pt idx="6">
                  <c:v>11.7</c:v>
                </c:pt>
                <c:pt idx="7">
                  <c:v>11.5</c:v>
                </c:pt>
                <c:pt idx="8">
                  <c:v>11.4</c:v>
                </c:pt>
                <c:pt idx="9">
                  <c:v>12</c:v>
                </c:pt>
                <c:pt idx="10">
                  <c:v>14.2</c:v>
                </c:pt>
                <c:pt idx="11">
                  <c:v>13.2</c:v>
                </c:pt>
                <c:pt idx="12">
                  <c:v>13.4</c:v>
                </c:pt>
                <c:pt idx="13">
                  <c:v>13.1</c:v>
                </c:pt>
                <c:pt idx="14">
                  <c:v>13.6</c:v>
                </c:pt>
                <c:pt idx="15">
                  <c:v>14.3</c:v>
                </c:pt>
                <c:pt idx="16">
                  <c:v>13.2</c:v>
                </c:pt>
                <c:pt idx="17">
                  <c:v>15</c:v>
                </c:pt>
                <c:pt idx="18">
                  <c:v>14.3</c:v>
                </c:pt>
                <c:pt idx="19">
                  <c:v>15.3</c:v>
                </c:pt>
                <c:pt idx="20">
                  <c:v>14.5</c:v>
                </c:pt>
                <c:pt idx="21">
                  <c:v>14.9</c:v>
                </c:pt>
                <c:pt idx="22">
                  <c:v>15.4</c:v>
                </c:pt>
                <c:pt idx="23">
                  <c:v>15.2</c:v>
                </c:pt>
                <c:pt idx="24">
                  <c:v>15.6</c:v>
                </c:pt>
                <c:pt idx="25">
                  <c:v>15.5</c:v>
                </c:pt>
                <c:pt idx="26">
                  <c:v>15.6</c:v>
                </c:pt>
                <c:pt idx="27">
                  <c:v>15.2</c:v>
                </c:pt>
                <c:pt idx="28">
                  <c:v>15.8</c:v>
                </c:pt>
                <c:pt idx="29">
                  <c:v>16.8</c:v>
                </c:pt>
                <c:pt idx="30">
                  <c:v>16.7</c:v>
                </c:pt>
                <c:pt idx="31">
                  <c:v>18.4</c:v>
                </c:pt>
                <c:pt idx="32">
                  <c:v>17.4</c:v>
                </c:pt>
                <c:pt idx="33">
                  <c:v>17.2</c:v>
                </c:pt>
                <c:pt idx="34">
                  <c:v>16.8</c:v>
                </c:pt>
                <c:pt idx="35">
                  <c:v>18.4</c:v>
                </c:pt>
                <c:pt idx="36">
                  <c:v>18.2</c:v>
                </c:pt>
                <c:pt idx="37">
                  <c:v>17.8</c:v>
                </c:pt>
                <c:pt idx="38">
                  <c:v>19.2</c:v>
                </c:pt>
                <c:pt idx="39">
                  <c:v>19.9</c:v>
                </c:pt>
                <c:pt idx="40">
                  <c:v>19.2</c:v>
                </c:pt>
                <c:pt idx="41">
                  <c:v>19.6</c:v>
                </c:pt>
                <c:pt idx="42">
                  <c:v>19.9</c:v>
                </c:pt>
                <c:pt idx="43">
                  <c:v>22.3</c:v>
                </c:pt>
                <c:pt idx="44">
                  <c:v>22</c:v>
                </c:pt>
                <c:pt idx="45">
                  <c:v>22.3</c:v>
                </c:pt>
                <c:pt idx="46">
                  <c:v>20.8</c:v>
                </c:pt>
                <c:pt idx="47">
                  <c:v>21.1</c:v>
                </c:pt>
                <c:pt idx="48">
                  <c:v>21.8</c:v>
                </c:pt>
                <c:pt idx="49">
                  <c:v>22.1</c:v>
                </c:pt>
                <c:pt idx="50">
                  <c:v>21.4</c:v>
                </c:pt>
                <c:pt idx="51">
                  <c:v>22.3</c:v>
                </c:pt>
                <c:pt idx="52">
                  <c:v>23.3</c:v>
                </c:pt>
                <c:pt idx="53">
                  <c:v>23.7</c:v>
                </c:pt>
                <c:pt idx="54">
                  <c:v>25.8</c:v>
                </c:pt>
                <c:pt idx="55">
                  <c:v>25.6</c:v>
                </c:pt>
                <c:pt idx="56">
                  <c:v>26.6</c:v>
                </c:pt>
                <c:pt idx="57">
                  <c:v>26.6</c:v>
                </c:pt>
                <c:pt idx="58">
                  <c:v>26.2</c:v>
                </c:pt>
                <c:pt idx="59">
                  <c:v>26.6</c:v>
                </c:pt>
                <c:pt idx="60">
                  <c:v>27.2</c:v>
                </c:pt>
                <c:pt idx="61">
                  <c:v>27.3</c:v>
                </c:pt>
                <c:pt idx="62">
                  <c:v>27.8</c:v>
                </c:pt>
              </c:numCache>
            </c:numRef>
          </c:val>
          <c:smooth val="0"/>
        </c:ser>
        <c:ser>
          <c:idx val="4"/>
          <c:order val="4"/>
          <c:tx>
            <c:strRef>
              <c:f>Sheet3!$H$6</c:f>
              <c:strCache>
                <c:ptCount val="1"/>
                <c:pt idx="0">
                  <c:v>27.8mg/100g</c:v>
                </c:pt>
              </c:strCache>
            </c:strRef>
          </c:tx>
          <c:spPr>
            <a:ln w="28575" cap="rnd">
              <a:solidFill>
                <a:schemeClr val="accent5"/>
              </a:solidFill>
              <a:round/>
            </a:ln>
            <a:effectLst/>
          </c:spPr>
          <c:marker>
            <c:symbol val="none"/>
          </c:marker>
          <c:dLbls>
            <c:delete val="1"/>
          </c:dLbls>
          <c:cat>
            <c:numRef>
              <c:f>Sheet3!$C$7:$C$69</c:f>
              <c:numCache>
                <c:formatCode>0_);[Red]\(0\)</c:formatCode>
                <c:ptCount val="63"/>
                <c:pt idx="0" c:formatCode="0_);[Red]\(0\)">
                  <c:v>0</c:v>
                </c:pt>
                <c:pt idx="1" c:formatCode="0_);[Red]\(0\)">
                  <c:v>0.5</c:v>
                </c:pt>
                <c:pt idx="2" c:formatCode="0_);[Red]\(0\)">
                  <c:v>1</c:v>
                </c:pt>
                <c:pt idx="3" c:formatCode="0_);[Red]\(0\)">
                  <c:v>1.5</c:v>
                </c:pt>
                <c:pt idx="4" c:formatCode="0_);[Red]\(0\)">
                  <c:v>2</c:v>
                </c:pt>
                <c:pt idx="5" c:formatCode="0_);[Red]\(0\)">
                  <c:v>2.5</c:v>
                </c:pt>
                <c:pt idx="6" c:formatCode="0_);[Red]\(0\)">
                  <c:v>3</c:v>
                </c:pt>
                <c:pt idx="7" c:formatCode="0_);[Red]\(0\)">
                  <c:v>3.5</c:v>
                </c:pt>
                <c:pt idx="8" c:formatCode="0_);[Red]\(0\)">
                  <c:v>4</c:v>
                </c:pt>
                <c:pt idx="9" c:formatCode="0_);[Red]\(0\)">
                  <c:v>4.5</c:v>
                </c:pt>
                <c:pt idx="10" c:formatCode="0_);[Red]\(0\)">
                  <c:v>5</c:v>
                </c:pt>
                <c:pt idx="11" c:formatCode="0_);[Red]\(0\)">
                  <c:v>5.5</c:v>
                </c:pt>
                <c:pt idx="12" c:formatCode="0_);[Red]\(0\)">
                  <c:v>6</c:v>
                </c:pt>
                <c:pt idx="13" c:formatCode="0_);[Red]\(0\)">
                  <c:v>6.5</c:v>
                </c:pt>
                <c:pt idx="14" c:formatCode="0_);[Red]\(0\)">
                  <c:v>7</c:v>
                </c:pt>
                <c:pt idx="15" c:formatCode="0_);[Red]\(0\)">
                  <c:v>7.5</c:v>
                </c:pt>
                <c:pt idx="16" c:formatCode="0_);[Red]\(0\)">
                  <c:v>9</c:v>
                </c:pt>
                <c:pt idx="17" c:formatCode="0_);[Red]\(0\)">
                  <c:v>9.5</c:v>
                </c:pt>
                <c:pt idx="18" c:formatCode="0_);[Red]\(0\)">
                  <c:v>10</c:v>
                </c:pt>
                <c:pt idx="19" c:formatCode="0_);[Red]\(0\)">
                  <c:v>10.5</c:v>
                </c:pt>
                <c:pt idx="20" c:formatCode="0_);[Red]\(0\)">
                  <c:v>11</c:v>
                </c:pt>
                <c:pt idx="21" c:formatCode="0_);[Red]\(0\)">
                  <c:v>11.5</c:v>
                </c:pt>
                <c:pt idx="22" c:formatCode="0_);[Red]\(0\)">
                  <c:v>12</c:v>
                </c:pt>
                <c:pt idx="23" c:formatCode="0_);[Red]\(0\)">
                  <c:v>12.5</c:v>
                </c:pt>
                <c:pt idx="24" c:formatCode="0_);[Red]\(0\)">
                  <c:v>13.5</c:v>
                </c:pt>
                <c:pt idx="25" c:formatCode="0_);[Red]\(0\)">
                  <c:v>14</c:v>
                </c:pt>
                <c:pt idx="26" c:formatCode="0_);[Red]\(0\)">
                  <c:v>15</c:v>
                </c:pt>
                <c:pt idx="27" c:formatCode="0_);[Red]\(0\)">
                  <c:v>16</c:v>
                </c:pt>
                <c:pt idx="28" c:formatCode="0_);[Red]\(0\)">
                  <c:v>17</c:v>
                </c:pt>
                <c:pt idx="29" c:formatCode="0_);[Red]\(0\)">
                  <c:v>18</c:v>
                </c:pt>
                <c:pt idx="30" c:formatCode="0_);[Red]\(0\)">
                  <c:v>18.5</c:v>
                </c:pt>
                <c:pt idx="31" c:formatCode="0_);[Red]\(0\)">
                  <c:v>19</c:v>
                </c:pt>
                <c:pt idx="32" c:formatCode="0_);[Red]\(0\)">
                  <c:v>19.5</c:v>
                </c:pt>
                <c:pt idx="33" c:formatCode="0_);[Red]\(0\)">
                  <c:v>20</c:v>
                </c:pt>
                <c:pt idx="34" c:formatCode="0_);[Red]\(0\)">
                  <c:v>21</c:v>
                </c:pt>
                <c:pt idx="35" c:formatCode="0_);[Red]\(0\)">
                  <c:v>21.5</c:v>
                </c:pt>
                <c:pt idx="36" c:formatCode="0_);[Red]\(0\)">
                  <c:v>22</c:v>
                </c:pt>
                <c:pt idx="37" c:formatCode="0_);[Red]\(0\)">
                  <c:v>23</c:v>
                </c:pt>
                <c:pt idx="38" c:formatCode="0_);[Red]\(0\)">
                  <c:v>24</c:v>
                </c:pt>
                <c:pt idx="39" c:formatCode="0_);[Red]\(0\)">
                  <c:v>25</c:v>
                </c:pt>
                <c:pt idx="40" c:formatCode="0_);[Red]\(0\)">
                  <c:v>26</c:v>
                </c:pt>
                <c:pt idx="41" c:formatCode="0_);[Red]\(0\)">
                  <c:v>27.5</c:v>
                </c:pt>
                <c:pt idx="42" c:formatCode="0_);[Red]\(0\)">
                  <c:v>28.5</c:v>
                </c:pt>
                <c:pt idx="43" c:formatCode="0_);[Red]\(0\)">
                  <c:v>29</c:v>
                </c:pt>
                <c:pt idx="44" c:formatCode="0_);[Red]\(0\)">
                  <c:v>30</c:v>
                </c:pt>
                <c:pt idx="45" c:formatCode="0_);[Red]\(0\)">
                  <c:v>31</c:v>
                </c:pt>
                <c:pt idx="46" c:formatCode="0_);[Red]\(0\)">
                  <c:v>32</c:v>
                </c:pt>
                <c:pt idx="47" c:formatCode="0_);[Red]\(0\)">
                  <c:v>33</c:v>
                </c:pt>
                <c:pt idx="48" c:formatCode="0_);[Red]\(0\)">
                  <c:v>34</c:v>
                </c:pt>
                <c:pt idx="49" c:formatCode="0_);[Red]\(0\)">
                  <c:v>35</c:v>
                </c:pt>
                <c:pt idx="50" c:formatCode="0_);[Red]\(0\)">
                  <c:v>36</c:v>
                </c:pt>
                <c:pt idx="51" c:formatCode="0_);[Red]\(0\)">
                  <c:v>37</c:v>
                </c:pt>
                <c:pt idx="52" c:formatCode="0_);[Red]\(0\)">
                  <c:v>38</c:v>
                </c:pt>
                <c:pt idx="53" c:formatCode="0_);[Red]\(0\)">
                  <c:v>39</c:v>
                </c:pt>
                <c:pt idx="54" c:formatCode="0_);[Red]\(0\)">
                  <c:v>40</c:v>
                </c:pt>
                <c:pt idx="55" c:formatCode="0_);[Red]\(0\)">
                  <c:v>40.5</c:v>
                </c:pt>
                <c:pt idx="56" c:formatCode="0_);[Red]\(0\)">
                  <c:v>41</c:v>
                </c:pt>
                <c:pt idx="57" c:formatCode="0_);[Red]\(0\)">
                  <c:v>42</c:v>
                </c:pt>
                <c:pt idx="58" c:formatCode="0_);[Red]\(0\)">
                  <c:v>43</c:v>
                </c:pt>
                <c:pt idx="59" c:formatCode="0_);[Red]\(0\)">
                  <c:v>44</c:v>
                </c:pt>
                <c:pt idx="60" c:formatCode="0_);[Red]\(0\)">
                  <c:v>44.5</c:v>
                </c:pt>
                <c:pt idx="61" c:formatCode="0_);[Red]\(0\)">
                  <c:v>45</c:v>
                </c:pt>
                <c:pt idx="62" c:formatCode="0_);[Red]\(0\)">
                  <c:v>45.5</c:v>
                </c:pt>
              </c:numCache>
            </c:numRef>
          </c:cat>
          <c:val>
            <c:numRef>
              <c:f>Sheet3!$H$7:$H$69</c:f>
              <c:numCache>
                <c:formatCode>General</c:formatCode>
                <c:ptCount val="63"/>
                <c:pt idx="0">
                  <c:v>10</c:v>
                </c:pt>
                <c:pt idx="1">
                  <c:v>10.9</c:v>
                </c:pt>
                <c:pt idx="2">
                  <c:v>10.9</c:v>
                </c:pt>
                <c:pt idx="3">
                  <c:v>11.7</c:v>
                </c:pt>
                <c:pt idx="4">
                  <c:v>11.4</c:v>
                </c:pt>
                <c:pt idx="5">
                  <c:v>10.7</c:v>
                </c:pt>
                <c:pt idx="6">
                  <c:v>12</c:v>
                </c:pt>
                <c:pt idx="7">
                  <c:v>11.7</c:v>
                </c:pt>
                <c:pt idx="8">
                  <c:v>11.7</c:v>
                </c:pt>
                <c:pt idx="9">
                  <c:v>12.9</c:v>
                </c:pt>
                <c:pt idx="10">
                  <c:v>12.5</c:v>
                </c:pt>
                <c:pt idx="11">
                  <c:v>13.5</c:v>
                </c:pt>
                <c:pt idx="12">
                  <c:v>13.6</c:v>
                </c:pt>
                <c:pt idx="13">
                  <c:v>13.4</c:v>
                </c:pt>
                <c:pt idx="14">
                  <c:v>14.2</c:v>
                </c:pt>
                <c:pt idx="15">
                  <c:v>14.8</c:v>
                </c:pt>
                <c:pt idx="16">
                  <c:v>13.8</c:v>
                </c:pt>
                <c:pt idx="17">
                  <c:v>15.6</c:v>
                </c:pt>
                <c:pt idx="18">
                  <c:v>15.3</c:v>
                </c:pt>
                <c:pt idx="19">
                  <c:v>15.9</c:v>
                </c:pt>
                <c:pt idx="20">
                  <c:v>16</c:v>
                </c:pt>
                <c:pt idx="21">
                  <c:v>15.8</c:v>
                </c:pt>
                <c:pt idx="22">
                  <c:v>15.8</c:v>
                </c:pt>
                <c:pt idx="23">
                  <c:v>15.8</c:v>
                </c:pt>
                <c:pt idx="24">
                  <c:v>16</c:v>
                </c:pt>
                <c:pt idx="25">
                  <c:v>15.8</c:v>
                </c:pt>
                <c:pt idx="26">
                  <c:v>16.7</c:v>
                </c:pt>
                <c:pt idx="27">
                  <c:v>17.2</c:v>
                </c:pt>
                <c:pt idx="28">
                  <c:v>17.1</c:v>
                </c:pt>
                <c:pt idx="29">
                  <c:v>17.6</c:v>
                </c:pt>
                <c:pt idx="30">
                  <c:v>16.7</c:v>
                </c:pt>
                <c:pt idx="31">
                  <c:v>18.6</c:v>
                </c:pt>
                <c:pt idx="32">
                  <c:v>18.8</c:v>
                </c:pt>
                <c:pt idx="33">
                  <c:v>18.6</c:v>
                </c:pt>
                <c:pt idx="34">
                  <c:v>19</c:v>
                </c:pt>
                <c:pt idx="35">
                  <c:v>19.9</c:v>
                </c:pt>
                <c:pt idx="36">
                  <c:v>18.7</c:v>
                </c:pt>
                <c:pt idx="37">
                  <c:v>18.9</c:v>
                </c:pt>
                <c:pt idx="38">
                  <c:v>19.9</c:v>
                </c:pt>
                <c:pt idx="39">
                  <c:v>21.9</c:v>
                </c:pt>
                <c:pt idx="40">
                  <c:v>20</c:v>
                </c:pt>
                <c:pt idx="41">
                  <c:v>20</c:v>
                </c:pt>
                <c:pt idx="42">
                  <c:v>20.1</c:v>
                </c:pt>
                <c:pt idx="43">
                  <c:v>22</c:v>
                </c:pt>
                <c:pt idx="44">
                  <c:v>22</c:v>
                </c:pt>
                <c:pt idx="45">
                  <c:v>23</c:v>
                </c:pt>
                <c:pt idx="46">
                  <c:v>22.4</c:v>
                </c:pt>
                <c:pt idx="47">
                  <c:v>23</c:v>
                </c:pt>
                <c:pt idx="48">
                  <c:v>23.2</c:v>
                </c:pt>
                <c:pt idx="49">
                  <c:v>23</c:v>
                </c:pt>
                <c:pt idx="50">
                  <c:v>22.8</c:v>
                </c:pt>
                <c:pt idx="51">
                  <c:v>22.6</c:v>
                </c:pt>
                <c:pt idx="52">
                  <c:v>23.8</c:v>
                </c:pt>
                <c:pt idx="53">
                  <c:v>24</c:v>
                </c:pt>
                <c:pt idx="54">
                  <c:v>26.3</c:v>
                </c:pt>
                <c:pt idx="55">
                  <c:v>26.2</c:v>
                </c:pt>
                <c:pt idx="56">
                  <c:v>27.1</c:v>
                </c:pt>
                <c:pt idx="57">
                  <c:v>27.1</c:v>
                </c:pt>
                <c:pt idx="58">
                  <c:v>27</c:v>
                </c:pt>
                <c:pt idx="59">
                  <c:v>27.8</c:v>
                </c:pt>
                <c:pt idx="60">
                  <c:v>27.4</c:v>
                </c:pt>
                <c:pt idx="61">
                  <c:v>27.8</c:v>
                </c:pt>
                <c:pt idx="62">
                  <c:v>28</c:v>
                </c:pt>
              </c:numCache>
            </c:numRef>
          </c:val>
          <c:smooth val="0"/>
        </c:ser>
        <c:dLbls>
          <c:showLegendKey val="0"/>
          <c:showVal val="0"/>
          <c:showCatName val="0"/>
          <c:showSerName val="0"/>
          <c:showPercent val="0"/>
          <c:showBubbleSize val="0"/>
        </c:dLbls>
        <c:marker val="0"/>
        <c:smooth val="0"/>
        <c:axId val="1255913600"/>
        <c:axId val="1255904896"/>
      </c:lineChart>
      <c:catAx>
        <c:axId val="1255913600"/>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煎炸时间</a:t>
                </a:r>
                <a:r>
                  <a:rPr lang="en-US" altLang="zh-CN"/>
                  <a:t>/h</a:t>
                </a:r>
                <a:endParaRPr lang="zh-CN" altLang="en-US"/>
              </a:p>
            </c:rich>
          </c:tx>
          <c:layout/>
          <c:overlay val="0"/>
          <c:spPr>
            <a:noFill/>
            <a:ln>
              <a:noFill/>
            </a:ln>
            <a:effectLst/>
          </c:spPr>
        </c:title>
        <c:numFmt formatCode="0_);[Red]\(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5904896"/>
        <c:crosses val="autoZero"/>
        <c:auto val="0"/>
        <c:lblAlgn val="ctr"/>
        <c:lblOffset val="100"/>
        <c:tickMarkSkip val="7"/>
        <c:noMultiLvlLbl val="0"/>
      </c:catAx>
      <c:valAx>
        <c:axId val="1255904896"/>
        <c:scaling>
          <c:orientation val="minMax"/>
          <c:max val="35"/>
          <c:min val="9"/>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极性组分</a:t>
                </a:r>
                <a:r>
                  <a:rPr lang="en-US" altLang="zh-CN"/>
                  <a:t>/%</a:t>
                </a:r>
                <a:endParaRPr lang="zh-CN" altLang="en-US"/>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5913600"/>
        <c:crosses val="autoZero"/>
        <c:crossBetween val="between"/>
        <c:majorUnit val="2"/>
      </c:valAx>
      <c:spPr>
        <a:noFill/>
        <a:ln>
          <a:noFill/>
        </a:ln>
        <a:effectLst/>
      </c:spPr>
    </c:plotArea>
    <c:legend>
      <c:legendPos val="b"/>
      <c:layout>
        <c:manualLayout>
          <c:xMode val="edge"/>
          <c:yMode val="edge"/>
          <c:x val="0.209294400699912"/>
          <c:y val="0.148726305045203"/>
          <c:w val="0.606375984251968"/>
          <c:h val="0.14930664916885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4553149606299"/>
          <c:y val="0.124838145231846"/>
          <c:w val="0.856113517060367"/>
          <c:h val="0.687900262467191"/>
        </c:manualLayout>
      </c:layout>
      <c:scatterChart>
        <c:scatterStyle val="lineMarker"/>
        <c:varyColors val="0"/>
        <c:ser>
          <c:idx val="0"/>
          <c:order val="0"/>
          <c:tx>
            <c:strRef>
              <c:f>Sheet4!$M$37</c:f>
              <c:strCache>
                <c:ptCount val="1"/>
                <c:pt idx="0">
                  <c:v>18mg/100g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Sheet4!$L$38:$L$44</c:f>
              <c:numCache>
                <c:formatCode>General</c:formatCode>
                <c:ptCount val="7"/>
                <c:pt idx="0">
                  <c:v>0</c:v>
                </c:pt>
                <c:pt idx="1">
                  <c:v>5</c:v>
                </c:pt>
                <c:pt idx="2">
                  <c:v>12</c:v>
                </c:pt>
                <c:pt idx="3">
                  <c:v>18</c:v>
                </c:pt>
                <c:pt idx="4">
                  <c:v>30</c:v>
                </c:pt>
                <c:pt idx="5">
                  <c:v>35</c:v>
                </c:pt>
                <c:pt idx="6">
                  <c:v>40</c:v>
                </c:pt>
              </c:numCache>
            </c:numRef>
          </c:xVal>
          <c:yVal>
            <c:numRef>
              <c:f>Sheet4!$M$38:$M$44</c:f>
              <c:numCache>
                <c:formatCode>General</c:formatCode>
                <c:ptCount val="7"/>
                <c:pt idx="0">
                  <c:v>0.067</c:v>
                </c:pt>
                <c:pt idx="1">
                  <c:v>0.358</c:v>
                </c:pt>
                <c:pt idx="2">
                  <c:v>1.075</c:v>
                </c:pt>
                <c:pt idx="3">
                  <c:v>1.789</c:v>
                </c:pt>
                <c:pt idx="4">
                  <c:v>2.876</c:v>
                </c:pt>
                <c:pt idx="5">
                  <c:v>3.45</c:v>
                </c:pt>
                <c:pt idx="6">
                  <c:v>3.98</c:v>
                </c:pt>
              </c:numCache>
            </c:numRef>
          </c:yVal>
          <c:smooth val="0"/>
        </c:ser>
        <c:ser>
          <c:idx val="1"/>
          <c:order val="1"/>
          <c:tx>
            <c:strRef>
              <c:f>Sheet4!$N$37</c:f>
              <c:strCache>
                <c:ptCount val="1"/>
                <c:pt idx="0">
                  <c:v>20.2mg/100g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Sheet4!$L$38:$L$44</c:f>
              <c:numCache>
                <c:formatCode>General</c:formatCode>
                <c:ptCount val="7"/>
                <c:pt idx="0">
                  <c:v>0</c:v>
                </c:pt>
                <c:pt idx="1">
                  <c:v>5</c:v>
                </c:pt>
                <c:pt idx="2">
                  <c:v>12</c:v>
                </c:pt>
                <c:pt idx="3">
                  <c:v>18</c:v>
                </c:pt>
                <c:pt idx="4">
                  <c:v>30</c:v>
                </c:pt>
                <c:pt idx="5">
                  <c:v>35</c:v>
                </c:pt>
                <c:pt idx="6">
                  <c:v>40</c:v>
                </c:pt>
              </c:numCache>
            </c:numRef>
          </c:xVal>
          <c:yVal>
            <c:numRef>
              <c:f>Sheet4!$N$38:$N$44</c:f>
              <c:numCache>
                <c:formatCode>General</c:formatCode>
                <c:ptCount val="7"/>
                <c:pt idx="0">
                  <c:v>0.039</c:v>
                </c:pt>
                <c:pt idx="1">
                  <c:v>0.346</c:v>
                </c:pt>
                <c:pt idx="2">
                  <c:v>0.828</c:v>
                </c:pt>
                <c:pt idx="3">
                  <c:v>1.367</c:v>
                </c:pt>
                <c:pt idx="4">
                  <c:v>2.55</c:v>
                </c:pt>
                <c:pt idx="5">
                  <c:v>3.07</c:v>
                </c:pt>
                <c:pt idx="6">
                  <c:v>3.56</c:v>
                </c:pt>
              </c:numCache>
            </c:numRef>
          </c:yVal>
          <c:smooth val="0"/>
        </c:ser>
        <c:ser>
          <c:idx val="2"/>
          <c:order val="2"/>
          <c:tx>
            <c:strRef>
              <c:f>Sheet4!$O$37</c:f>
              <c:strCache>
                <c:ptCount val="1"/>
                <c:pt idx="0">
                  <c:v>21.8mg/100g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Sheet4!$L$38:$L$44</c:f>
              <c:numCache>
                <c:formatCode>General</c:formatCode>
                <c:ptCount val="7"/>
                <c:pt idx="0">
                  <c:v>0</c:v>
                </c:pt>
                <c:pt idx="1">
                  <c:v>5</c:v>
                </c:pt>
                <c:pt idx="2">
                  <c:v>12</c:v>
                </c:pt>
                <c:pt idx="3">
                  <c:v>18</c:v>
                </c:pt>
                <c:pt idx="4">
                  <c:v>30</c:v>
                </c:pt>
                <c:pt idx="5">
                  <c:v>35</c:v>
                </c:pt>
                <c:pt idx="6">
                  <c:v>40</c:v>
                </c:pt>
              </c:numCache>
            </c:numRef>
          </c:xVal>
          <c:yVal>
            <c:numRef>
              <c:f>Sheet4!$O$38:$O$44</c:f>
              <c:numCache>
                <c:formatCode>General</c:formatCode>
                <c:ptCount val="7"/>
                <c:pt idx="0">
                  <c:v>0.089</c:v>
                </c:pt>
                <c:pt idx="1">
                  <c:v>0.38</c:v>
                </c:pt>
                <c:pt idx="2">
                  <c:v>0.861</c:v>
                </c:pt>
                <c:pt idx="3">
                  <c:v>1.413</c:v>
                </c:pt>
                <c:pt idx="4">
                  <c:v>2.599</c:v>
                </c:pt>
                <c:pt idx="5">
                  <c:v>2.87</c:v>
                </c:pt>
                <c:pt idx="6">
                  <c:v>3.43</c:v>
                </c:pt>
              </c:numCache>
            </c:numRef>
          </c:yVal>
          <c:smooth val="0"/>
        </c:ser>
        <c:ser>
          <c:idx val="3"/>
          <c:order val="3"/>
          <c:tx>
            <c:strRef>
              <c:f>Sheet4!$P$37</c:f>
              <c:strCache>
                <c:ptCount val="1"/>
                <c:pt idx="0">
                  <c:v>25mg/100g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Sheet4!$L$38:$L$44</c:f>
              <c:numCache>
                <c:formatCode>General</c:formatCode>
                <c:ptCount val="7"/>
                <c:pt idx="0">
                  <c:v>0</c:v>
                </c:pt>
                <c:pt idx="1">
                  <c:v>5</c:v>
                </c:pt>
                <c:pt idx="2">
                  <c:v>12</c:v>
                </c:pt>
                <c:pt idx="3">
                  <c:v>18</c:v>
                </c:pt>
                <c:pt idx="4">
                  <c:v>30</c:v>
                </c:pt>
                <c:pt idx="5">
                  <c:v>35</c:v>
                </c:pt>
                <c:pt idx="6">
                  <c:v>40</c:v>
                </c:pt>
              </c:numCache>
            </c:numRef>
          </c:xVal>
          <c:yVal>
            <c:numRef>
              <c:f>Sheet4!$P$38:$P$44</c:f>
              <c:numCache>
                <c:formatCode>General</c:formatCode>
                <c:ptCount val="7"/>
                <c:pt idx="0">
                  <c:v>0.039</c:v>
                </c:pt>
                <c:pt idx="1">
                  <c:v>0.346</c:v>
                </c:pt>
                <c:pt idx="2">
                  <c:v>0.828</c:v>
                </c:pt>
                <c:pt idx="3">
                  <c:v>1.367</c:v>
                </c:pt>
                <c:pt idx="4">
                  <c:v>2.55</c:v>
                </c:pt>
                <c:pt idx="5">
                  <c:v>3.23</c:v>
                </c:pt>
                <c:pt idx="6">
                  <c:v>3.15</c:v>
                </c:pt>
              </c:numCache>
            </c:numRef>
          </c:yVal>
          <c:smooth val="0"/>
        </c:ser>
        <c:ser>
          <c:idx val="4"/>
          <c:order val="4"/>
          <c:tx>
            <c:strRef>
              <c:f>Sheet4!$Q$37</c:f>
              <c:strCache>
                <c:ptCount val="1"/>
                <c:pt idx="0">
                  <c:v>27.8mg/100g</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elete val="1"/>
          </c:dLbls>
          <c:xVal>
            <c:numRef>
              <c:f>Sheet4!$L$38:$L$44</c:f>
              <c:numCache>
                <c:formatCode>General</c:formatCode>
                <c:ptCount val="7"/>
                <c:pt idx="0">
                  <c:v>0</c:v>
                </c:pt>
                <c:pt idx="1">
                  <c:v>5</c:v>
                </c:pt>
                <c:pt idx="2">
                  <c:v>12</c:v>
                </c:pt>
                <c:pt idx="3">
                  <c:v>18</c:v>
                </c:pt>
                <c:pt idx="4">
                  <c:v>30</c:v>
                </c:pt>
                <c:pt idx="5">
                  <c:v>35</c:v>
                </c:pt>
                <c:pt idx="6">
                  <c:v>40</c:v>
                </c:pt>
              </c:numCache>
            </c:numRef>
          </c:xVal>
          <c:yVal>
            <c:numRef>
              <c:f>Sheet4!$Q$38:$Q$44</c:f>
              <c:numCache>
                <c:formatCode>General</c:formatCode>
                <c:ptCount val="7"/>
                <c:pt idx="0">
                  <c:v>0.067</c:v>
                </c:pt>
                <c:pt idx="1">
                  <c:v>0.358</c:v>
                </c:pt>
                <c:pt idx="2">
                  <c:v>0.978</c:v>
                </c:pt>
                <c:pt idx="3">
                  <c:v>1.567</c:v>
                </c:pt>
                <c:pt idx="4">
                  <c:v>2.78</c:v>
                </c:pt>
                <c:pt idx="5">
                  <c:v>3.17</c:v>
                </c:pt>
                <c:pt idx="6">
                  <c:v>3.76</c:v>
                </c:pt>
              </c:numCache>
            </c:numRef>
          </c:yVal>
          <c:smooth val="0"/>
        </c:ser>
        <c:dLbls>
          <c:showLegendKey val="0"/>
          <c:showVal val="0"/>
          <c:showCatName val="0"/>
          <c:showSerName val="0"/>
          <c:showPercent val="0"/>
          <c:showBubbleSize val="0"/>
        </c:dLbls>
        <c:axId val="1255905984"/>
        <c:axId val="1255907616"/>
      </c:scatterChart>
      <c:valAx>
        <c:axId val="1255905984"/>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煎炸时间</a:t>
                </a:r>
                <a:r>
                  <a:rPr lang="en-US" altLang="zh-CN"/>
                  <a:t>/h</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5907616"/>
        <c:crosses val="autoZero"/>
        <c:crossBetween val="midCat"/>
      </c:valAx>
      <c:valAx>
        <c:axId val="1255907616"/>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酸价（</a:t>
                </a:r>
                <a:r>
                  <a:rPr lang="en-US" altLang="zh-CN"/>
                  <a:t>mg/g)</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255905984"/>
        <c:crosses val="autoZero"/>
        <c:crossBetween val="midCat"/>
      </c:valAx>
      <c:spPr>
        <a:noFill/>
        <a:ln>
          <a:noFill/>
        </a:ln>
        <a:effectLst/>
      </c:spPr>
    </c:plotArea>
    <c:legend>
      <c:legendPos val="b"/>
      <c:layout>
        <c:manualLayout>
          <c:xMode val="edge"/>
          <c:yMode val="edge"/>
          <c:x val="0.194034120734908"/>
          <c:y val="0.137730387868183"/>
          <c:w val="0.606375984251968"/>
          <c:h val="0.14930664916885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1886482939633"/>
          <c:y val="0.0509259259259259"/>
          <c:w val="0.785891294838145"/>
          <c:h val="0.671303222513853"/>
        </c:manualLayout>
      </c:layout>
      <c:lineChart>
        <c:grouping val="standard"/>
        <c:varyColors val="0"/>
        <c:ser>
          <c:idx val="0"/>
          <c:order val="0"/>
          <c:tx>
            <c:strRef>
              <c:f>Sheet4!$T$37</c:f>
              <c:strCache>
                <c:ptCount val="1"/>
                <c:pt idx="0">
                  <c:v>18mg/100g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Sheet4!$S$38:$S$44</c:f>
              <c:numCache>
                <c:formatCode>General</c:formatCode>
                <c:ptCount val="7"/>
                <c:pt idx="0">
                  <c:v>0</c:v>
                </c:pt>
                <c:pt idx="1">
                  <c:v>5</c:v>
                </c:pt>
                <c:pt idx="2">
                  <c:v>12</c:v>
                </c:pt>
                <c:pt idx="3">
                  <c:v>18</c:v>
                </c:pt>
                <c:pt idx="4">
                  <c:v>30</c:v>
                </c:pt>
                <c:pt idx="5">
                  <c:v>35</c:v>
                </c:pt>
                <c:pt idx="6">
                  <c:v>40</c:v>
                </c:pt>
              </c:numCache>
            </c:numRef>
          </c:cat>
          <c:val>
            <c:numRef>
              <c:f>Sheet4!$T$38:$T$44</c:f>
              <c:numCache>
                <c:formatCode>General</c:formatCode>
                <c:ptCount val="7"/>
                <c:pt idx="0">
                  <c:v>2.23</c:v>
                </c:pt>
                <c:pt idx="1">
                  <c:v>114.88</c:v>
                </c:pt>
                <c:pt idx="2">
                  <c:v>201.86</c:v>
                </c:pt>
                <c:pt idx="3">
                  <c:v>209</c:v>
                </c:pt>
                <c:pt idx="4">
                  <c:v>215</c:v>
                </c:pt>
                <c:pt idx="5">
                  <c:v>230</c:v>
                </c:pt>
                <c:pt idx="6">
                  <c:v>250</c:v>
                </c:pt>
              </c:numCache>
            </c:numRef>
          </c:val>
          <c:smooth val="0"/>
        </c:ser>
        <c:ser>
          <c:idx val="1"/>
          <c:order val="1"/>
          <c:tx>
            <c:strRef>
              <c:f>Sheet4!$U$37</c:f>
              <c:strCache>
                <c:ptCount val="1"/>
                <c:pt idx="0">
                  <c:v>20.2mg/100g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Sheet4!$S$38:$S$44</c:f>
              <c:numCache>
                <c:formatCode>General</c:formatCode>
                <c:ptCount val="7"/>
                <c:pt idx="0">
                  <c:v>0</c:v>
                </c:pt>
                <c:pt idx="1">
                  <c:v>5</c:v>
                </c:pt>
                <c:pt idx="2">
                  <c:v>12</c:v>
                </c:pt>
                <c:pt idx="3">
                  <c:v>18</c:v>
                </c:pt>
                <c:pt idx="4">
                  <c:v>30</c:v>
                </c:pt>
                <c:pt idx="5">
                  <c:v>35</c:v>
                </c:pt>
                <c:pt idx="6">
                  <c:v>40</c:v>
                </c:pt>
              </c:numCache>
            </c:numRef>
          </c:cat>
          <c:val>
            <c:numRef>
              <c:f>Sheet4!$U$38:$U$44</c:f>
              <c:numCache>
                <c:formatCode>General</c:formatCode>
                <c:ptCount val="7"/>
                <c:pt idx="0">
                  <c:v>2.23</c:v>
                </c:pt>
                <c:pt idx="1">
                  <c:v>33.14</c:v>
                </c:pt>
                <c:pt idx="2">
                  <c:v>56.84</c:v>
                </c:pt>
                <c:pt idx="3">
                  <c:v>69.05</c:v>
                </c:pt>
                <c:pt idx="4">
                  <c:v>74.78</c:v>
                </c:pt>
                <c:pt idx="5">
                  <c:v>105</c:v>
                </c:pt>
                <c:pt idx="6">
                  <c:v>150</c:v>
                </c:pt>
              </c:numCache>
            </c:numRef>
          </c:val>
          <c:smooth val="0"/>
        </c:ser>
        <c:ser>
          <c:idx val="2"/>
          <c:order val="2"/>
          <c:tx>
            <c:strRef>
              <c:f>Sheet4!$V$37</c:f>
              <c:strCache>
                <c:ptCount val="1"/>
                <c:pt idx="0">
                  <c:v>21.8mg/100g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Sheet4!$S$38:$S$44</c:f>
              <c:numCache>
                <c:formatCode>General</c:formatCode>
                <c:ptCount val="7"/>
                <c:pt idx="0">
                  <c:v>0</c:v>
                </c:pt>
                <c:pt idx="1">
                  <c:v>5</c:v>
                </c:pt>
                <c:pt idx="2">
                  <c:v>12</c:v>
                </c:pt>
                <c:pt idx="3">
                  <c:v>18</c:v>
                </c:pt>
                <c:pt idx="4">
                  <c:v>30</c:v>
                </c:pt>
                <c:pt idx="5">
                  <c:v>35</c:v>
                </c:pt>
                <c:pt idx="6">
                  <c:v>40</c:v>
                </c:pt>
              </c:numCache>
            </c:numRef>
          </c:cat>
          <c:val>
            <c:numRef>
              <c:f>Sheet4!$V$38:$V$44</c:f>
              <c:numCache>
                <c:formatCode>General</c:formatCode>
                <c:ptCount val="7"/>
                <c:pt idx="0">
                  <c:v>1.77</c:v>
                </c:pt>
                <c:pt idx="1">
                  <c:v>44.01</c:v>
                </c:pt>
                <c:pt idx="2">
                  <c:v>69.44</c:v>
                </c:pt>
                <c:pt idx="3">
                  <c:v>74.87</c:v>
                </c:pt>
                <c:pt idx="4">
                  <c:v>75.61</c:v>
                </c:pt>
                <c:pt idx="5">
                  <c:v>120</c:v>
                </c:pt>
                <c:pt idx="6">
                  <c:v>148</c:v>
                </c:pt>
              </c:numCache>
            </c:numRef>
          </c:val>
          <c:smooth val="0"/>
        </c:ser>
        <c:ser>
          <c:idx val="3"/>
          <c:order val="3"/>
          <c:tx>
            <c:strRef>
              <c:f>Sheet4!$W$37</c:f>
              <c:strCache>
                <c:ptCount val="1"/>
                <c:pt idx="0">
                  <c:v>25mg/100g</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Sheet4!$S$38:$S$44</c:f>
              <c:numCache>
                <c:formatCode>General</c:formatCode>
                <c:ptCount val="7"/>
                <c:pt idx="0">
                  <c:v>0</c:v>
                </c:pt>
                <c:pt idx="1">
                  <c:v>5</c:v>
                </c:pt>
                <c:pt idx="2">
                  <c:v>12</c:v>
                </c:pt>
                <c:pt idx="3">
                  <c:v>18</c:v>
                </c:pt>
                <c:pt idx="4">
                  <c:v>30</c:v>
                </c:pt>
                <c:pt idx="5">
                  <c:v>35</c:v>
                </c:pt>
                <c:pt idx="6">
                  <c:v>40</c:v>
                </c:pt>
              </c:numCache>
            </c:numRef>
          </c:cat>
          <c:val>
            <c:numRef>
              <c:f>Sheet4!$W$38:$W$44</c:f>
              <c:numCache>
                <c:formatCode>General</c:formatCode>
                <c:ptCount val="7"/>
                <c:pt idx="0">
                  <c:v>2.45</c:v>
                </c:pt>
                <c:pt idx="1">
                  <c:v>64.01</c:v>
                </c:pt>
                <c:pt idx="2">
                  <c:v>89.44</c:v>
                </c:pt>
                <c:pt idx="3">
                  <c:v>89.76</c:v>
                </c:pt>
                <c:pt idx="4">
                  <c:v>85.61</c:v>
                </c:pt>
                <c:pt idx="5">
                  <c:v>125</c:v>
                </c:pt>
                <c:pt idx="6">
                  <c:v>168</c:v>
                </c:pt>
              </c:numCache>
            </c:numRef>
          </c:val>
          <c:smooth val="0"/>
        </c:ser>
        <c:ser>
          <c:idx val="4"/>
          <c:order val="4"/>
          <c:tx>
            <c:strRef>
              <c:f>Sheet4!$X$37</c:f>
              <c:strCache>
                <c:ptCount val="1"/>
                <c:pt idx="0">
                  <c:v>27.8mg/100g</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Sheet4!$S$38:$S$44</c:f>
              <c:numCache>
                <c:formatCode>General</c:formatCode>
                <c:ptCount val="7"/>
                <c:pt idx="0">
                  <c:v>0</c:v>
                </c:pt>
                <c:pt idx="1">
                  <c:v>5</c:v>
                </c:pt>
                <c:pt idx="2">
                  <c:v>12</c:v>
                </c:pt>
                <c:pt idx="3">
                  <c:v>18</c:v>
                </c:pt>
                <c:pt idx="4">
                  <c:v>30</c:v>
                </c:pt>
                <c:pt idx="5">
                  <c:v>35</c:v>
                </c:pt>
                <c:pt idx="6">
                  <c:v>40</c:v>
                </c:pt>
              </c:numCache>
            </c:numRef>
          </c:cat>
          <c:val>
            <c:numRef>
              <c:f>Sheet4!$X$38:$X$44</c:f>
              <c:numCache>
                <c:formatCode>General</c:formatCode>
                <c:ptCount val="7"/>
                <c:pt idx="0">
                  <c:v>1.35</c:v>
                </c:pt>
                <c:pt idx="1">
                  <c:v>84.01</c:v>
                </c:pt>
                <c:pt idx="2">
                  <c:v>109.44</c:v>
                </c:pt>
                <c:pt idx="3">
                  <c:v>110.87</c:v>
                </c:pt>
                <c:pt idx="4">
                  <c:v>130.69</c:v>
                </c:pt>
                <c:pt idx="5">
                  <c:v>158.43</c:v>
                </c:pt>
                <c:pt idx="6">
                  <c:v>175.63</c:v>
                </c:pt>
              </c:numCache>
            </c:numRef>
          </c:val>
          <c:smooth val="0"/>
        </c:ser>
        <c:dLbls>
          <c:showLegendKey val="0"/>
          <c:showVal val="0"/>
          <c:showCatName val="0"/>
          <c:showSerName val="0"/>
          <c:showPercent val="0"/>
          <c:showBubbleSize val="0"/>
        </c:dLbls>
        <c:marker val="1"/>
        <c:smooth val="0"/>
        <c:axId val="1465950368"/>
        <c:axId val="1465954720"/>
      </c:lineChart>
      <c:catAx>
        <c:axId val="1465950368"/>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煎炸时间</a:t>
                </a:r>
                <a:r>
                  <a:rPr lang="en-US" altLang="zh-CN"/>
                  <a:t>/h</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65954720"/>
        <c:crosses val="autoZero"/>
        <c:auto val="1"/>
        <c:lblAlgn val="ctr"/>
        <c:lblOffset val="100"/>
        <c:noMultiLvlLbl val="0"/>
      </c:catAx>
      <c:valAx>
        <c:axId val="1465954720"/>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茴香胺</a:t>
                </a:r>
                <a:endParaRPr lang="zh-CN" altLang="en-US"/>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65950368"/>
        <c:crosses val="autoZero"/>
        <c:crossBetween val="between"/>
      </c:valAx>
      <c:spPr>
        <a:noFill/>
        <a:ln>
          <a:noFill/>
        </a:ln>
        <a:effectLst/>
      </c:spPr>
    </c:plotArea>
    <c:legend>
      <c:legendPos val="b"/>
      <c:layout>
        <c:manualLayout>
          <c:xMode val="edge"/>
          <c:yMode val="edge"/>
          <c:x val="0.19125634295713"/>
          <c:y val="0.0497674249052202"/>
          <c:w val="0.606375984251968"/>
          <c:h val="0.14930664916885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219816272966"/>
          <c:y val="0.0509259259259259"/>
          <c:w val="0.788669072615923"/>
          <c:h val="0.782414333624964"/>
        </c:manualLayout>
      </c:layout>
      <c:scatterChart>
        <c:scatterStyle val="lineMarker"/>
        <c:varyColors val="0"/>
        <c:ser>
          <c:idx val="0"/>
          <c:order val="0"/>
          <c:tx>
            <c:strRef>
              <c:f>Sheet4!$M$16</c:f>
              <c:strCache>
                <c:ptCount val="1"/>
                <c:pt idx="0">
                  <c:v>18mg/100g</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Sheet4!$L$17:$L$23</c:f>
              <c:numCache>
                <c:formatCode>General</c:formatCode>
                <c:ptCount val="7"/>
                <c:pt idx="0">
                  <c:v>0</c:v>
                </c:pt>
                <c:pt idx="1">
                  <c:v>5</c:v>
                </c:pt>
                <c:pt idx="2">
                  <c:v>12</c:v>
                </c:pt>
                <c:pt idx="3">
                  <c:v>18</c:v>
                </c:pt>
                <c:pt idx="4">
                  <c:v>30</c:v>
                </c:pt>
                <c:pt idx="5">
                  <c:v>35</c:v>
                </c:pt>
                <c:pt idx="6">
                  <c:v>40</c:v>
                </c:pt>
              </c:numCache>
            </c:numRef>
          </c:xVal>
          <c:yVal>
            <c:numRef>
              <c:f>Sheet4!$M$17:$M$23</c:f>
              <c:numCache>
                <c:formatCode>General</c:formatCode>
                <c:ptCount val="7"/>
                <c:pt idx="0">
                  <c:v>18</c:v>
                </c:pt>
                <c:pt idx="1">
                  <c:v>15.2</c:v>
                </c:pt>
                <c:pt idx="2">
                  <c:v>10.3</c:v>
                </c:pt>
                <c:pt idx="3">
                  <c:v>9.7</c:v>
                </c:pt>
                <c:pt idx="4">
                  <c:v>4.2</c:v>
                </c:pt>
                <c:pt idx="5">
                  <c:v>2</c:v>
                </c:pt>
              </c:numCache>
            </c:numRef>
          </c:yVal>
          <c:smooth val="0"/>
        </c:ser>
        <c:ser>
          <c:idx val="1"/>
          <c:order val="1"/>
          <c:tx>
            <c:strRef>
              <c:f>Sheet4!$N$16</c:f>
              <c:strCache>
                <c:ptCount val="1"/>
                <c:pt idx="0">
                  <c:v>20.2mg/100g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elete val="1"/>
          </c:dLbls>
          <c:xVal>
            <c:numRef>
              <c:f>Sheet4!$L$17:$L$23</c:f>
              <c:numCache>
                <c:formatCode>General</c:formatCode>
                <c:ptCount val="7"/>
                <c:pt idx="0">
                  <c:v>0</c:v>
                </c:pt>
                <c:pt idx="1">
                  <c:v>5</c:v>
                </c:pt>
                <c:pt idx="2">
                  <c:v>12</c:v>
                </c:pt>
                <c:pt idx="3">
                  <c:v>18</c:v>
                </c:pt>
                <c:pt idx="4">
                  <c:v>30</c:v>
                </c:pt>
                <c:pt idx="5">
                  <c:v>35</c:v>
                </c:pt>
                <c:pt idx="6">
                  <c:v>40</c:v>
                </c:pt>
              </c:numCache>
            </c:numRef>
          </c:xVal>
          <c:yVal>
            <c:numRef>
              <c:f>Sheet4!$N$17:$N$23</c:f>
              <c:numCache>
                <c:formatCode>General</c:formatCode>
                <c:ptCount val="7"/>
                <c:pt idx="0">
                  <c:v>20.2</c:v>
                </c:pt>
                <c:pt idx="1">
                  <c:v>18.5</c:v>
                </c:pt>
                <c:pt idx="2">
                  <c:v>17.6</c:v>
                </c:pt>
                <c:pt idx="3">
                  <c:v>16.3</c:v>
                </c:pt>
                <c:pt idx="4">
                  <c:v>13.4</c:v>
                </c:pt>
                <c:pt idx="5">
                  <c:v>8.7</c:v>
                </c:pt>
                <c:pt idx="6">
                  <c:v>5.4</c:v>
                </c:pt>
              </c:numCache>
            </c:numRef>
          </c:yVal>
          <c:smooth val="0"/>
        </c:ser>
        <c:ser>
          <c:idx val="2"/>
          <c:order val="2"/>
          <c:tx>
            <c:strRef>
              <c:f>Sheet4!$O$16</c:f>
              <c:strCache>
                <c:ptCount val="1"/>
                <c:pt idx="0">
                  <c:v>21.8mg/100g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elete val="1"/>
          </c:dLbls>
          <c:xVal>
            <c:numRef>
              <c:f>Sheet4!$L$17:$L$23</c:f>
              <c:numCache>
                <c:formatCode>General</c:formatCode>
                <c:ptCount val="7"/>
                <c:pt idx="0">
                  <c:v>0</c:v>
                </c:pt>
                <c:pt idx="1">
                  <c:v>5</c:v>
                </c:pt>
                <c:pt idx="2">
                  <c:v>12</c:v>
                </c:pt>
                <c:pt idx="3">
                  <c:v>18</c:v>
                </c:pt>
                <c:pt idx="4">
                  <c:v>30</c:v>
                </c:pt>
                <c:pt idx="5">
                  <c:v>35</c:v>
                </c:pt>
                <c:pt idx="6">
                  <c:v>40</c:v>
                </c:pt>
              </c:numCache>
            </c:numRef>
          </c:xVal>
          <c:yVal>
            <c:numRef>
              <c:f>Sheet4!$O$17:$O$23</c:f>
              <c:numCache>
                <c:formatCode>General</c:formatCode>
                <c:ptCount val="7"/>
                <c:pt idx="0">
                  <c:v>21.8</c:v>
                </c:pt>
                <c:pt idx="1">
                  <c:v>18.9</c:v>
                </c:pt>
                <c:pt idx="2">
                  <c:v>17.8</c:v>
                </c:pt>
                <c:pt idx="3">
                  <c:v>16.8</c:v>
                </c:pt>
                <c:pt idx="4">
                  <c:v>12.5</c:v>
                </c:pt>
                <c:pt idx="5">
                  <c:v>8.4</c:v>
                </c:pt>
                <c:pt idx="6">
                  <c:v>5.3</c:v>
                </c:pt>
              </c:numCache>
            </c:numRef>
          </c:yVal>
          <c:smooth val="0"/>
        </c:ser>
        <c:ser>
          <c:idx val="3"/>
          <c:order val="3"/>
          <c:tx>
            <c:strRef>
              <c:f>Sheet4!$P$16</c:f>
              <c:strCache>
                <c:ptCount val="1"/>
                <c:pt idx="0">
                  <c:v>25mg/100g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dLbls>
            <c:delete val="1"/>
          </c:dLbls>
          <c:xVal>
            <c:numRef>
              <c:f>Sheet4!$L$17:$L$23</c:f>
              <c:numCache>
                <c:formatCode>General</c:formatCode>
                <c:ptCount val="7"/>
                <c:pt idx="0">
                  <c:v>0</c:v>
                </c:pt>
                <c:pt idx="1">
                  <c:v>5</c:v>
                </c:pt>
                <c:pt idx="2">
                  <c:v>12</c:v>
                </c:pt>
                <c:pt idx="3">
                  <c:v>18</c:v>
                </c:pt>
                <c:pt idx="4">
                  <c:v>30</c:v>
                </c:pt>
                <c:pt idx="5">
                  <c:v>35</c:v>
                </c:pt>
                <c:pt idx="6">
                  <c:v>40</c:v>
                </c:pt>
              </c:numCache>
            </c:numRef>
          </c:xVal>
          <c:yVal>
            <c:numRef>
              <c:f>Sheet4!$P$17:$P$23</c:f>
              <c:numCache>
                <c:formatCode>General</c:formatCode>
                <c:ptCount val="7"/>
                <c:pt idx="0">
                  <c:v>25</c:v>
                </c:pt>
                <c:pt idx="1">
                  <c:v>21.2</c:v>
                </c:pt>
                <c:pt idx="2">
                  <c:v>17.8</c:v>
                </c:pt>
                <c:pt idx="3">
                  <c:v>16.1</c:v>
                </c:pt>
                <c:pt idx="4">
                  <c:v>9.9</c:v>
                </c:pt>
                <c:pt idx="5">
                  <c:v>7.4</c:v>
                </c:pt>
                <c:pt idx="6">
                  <c:v>4.1</c:v>
                </c:pt>
              </c:numCache>
            </c:numRef>
          </c:yVal>
          <c:smooth val="0"/>
        </c:ser>
        <c:ser>
          <c:idx val="4"/>
          <c:order val="4"/>
          <c:tx>
            <c:strRef>
              <c:f>Sheet4!$Q$16</c:f>
              <c:strCache>
                <c:ptCount val="1"/>
                <c:pt idx="0">
                  <c:v>27.8mg/100g</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delete val="1"/>
          </c:dLbls>
          <c:xVal>
            <c:numRef>
              <c:f>Sheet4!$L$17:$L$23</c:f>
              <c:numCache>
                <c:formatCode>General</c:formatCode>
                <c:ptCount val="7"/>
                <c:pt idx="0">
                  <c:v>0</c:v>
                </c:pt>
                <c:pt idx="1">
                  <c:v>5</c:v>
                </c:pt>
                <c:pt idx="2">
                  <c:v>12</c:v>
                </c:pt>
                <c:pt idx="3">
                  <c:v>18</c:v>
                </c:pt>
                <c:pt idx="4">
                  <c:v>30</c:v>
                </c:pt>
                <c:pt idx="5">
                  <c:v>35</c:v>
                </c:pt>
                <c:pt idx="6">
                  <c:v>40</c:v>
                </c:pt>
              </c:numCache>
            </c:numRef>
          </c:xVal>
          <c:yVal>
            <c:numRef>
              <c:f>Sheet4!$Q$17:$Q$23</c:f>
              <c:numCache>
                <c:formatCode>General</c:formatCode>
                <c:ptCount val="7"/>
                <c:pt idx="0">
                  <c:v>27.8</c:v>
                </c:pt>
                <c:pt idx="1">
                  <c:v>23.4</c:v>
                </c:pt>
                <c:pt idx="2">
                  <c:v>18.5</c:v>
                </c:pt>
                <c:pt idx="3">
                  <c:v>16.5</c:v>
                </c:pt>
                <c:pt idx="4">
                  <c:v>9.7</c:v>
                </c:pt>
                <c:pt idx="5">
                  <c:v>5.4</c:v>
                </c:pt>
                <c:pt idx="6">
                  <c:v>2.1</c:v>
                </c:pt>
              </c:numCache>
            </c:numRef>
          </c:yVal>
          <c:smooth val="0"/>
        </c:ser>
        <c:dLbls>
          <c:showLegendKey val="0"/>
          <c:showVal val="0"/>
          <c:showCatName val="0"/>
          <c:showSerName val="0"/>
          <c:showPercent val="0"/>
          <c:showBubbleSize val="0"/>
        </c:dLbls>
        <c:axId val="1465954176"/>
        <c:axId val="1465962336"/>
      </c:scatterChart>
      <c:valAx>
        <c:axId val="1465954176"/>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煎炸时间</a:t>
                </a:r>
                <a:r>
                  <a:rPr lang="en-US" altLang="zh-CN"/>
                  <a:t>/h</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65962336"/>
        <c:crosses val="autoZero"/>
        <c:crossBetween val="midCat"/>
      </c:valAx>
      <c:valAx>
        <c:axId val="1465962336"/>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en-US" altLang="zh-CN"/>
                  <a:t>α-</a:t>
                </a:r>
                <a:r>
                  <a:rPr lang="zh-CN" altLang="en-US"/>
                  <a:t>生育酚当量</a:t>
                </a:r>
                <a:r>
                  <a:rPr lang="en-US" altLang="zh-CN"/>
                  <a:t>mg/100g</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465954176"/>
        <c:crosses val="autoZero"/>
        <c:crossBetween val="midCat"/>
      </c:valAx>
      <c:spPr>
        <a:noFill/>
        <a:ln>
          <a:noFill/>
        </a:ln>
        <a:effectLst/>
      </c:spPr>
    </c:plotArea>
    <c:legend>
      <c:legendPos val="b"/>
      <c:layout>
        <c:manualLayout>
          <c:xMode val="edge"/>
          <c:yMode val="edge"/>
          <c:x val="0.29125634295713"/>
          <c:y val="0.0451377952755906"/>
          <c:w val="0.606375984251968"/>
          <c:h val="0.14930664916885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delete val="1"/>
          </c:dLbls>
          <c:xVal>
            <c:numRef>
              <c:f>Sheet4!$G$7:$G$12</c:f>
              <c:numCache>
                <c:formatCode>General</c:formatCode>
                <c:ptCount val="6"/>
                <c:pt idx="0">
                  <c:v>0</c:v>
                </c:pt>
                <c:pt idx="1">
                  <c:v>0.1</c:v>
                </c:pt>
                <c:pt idx="2">
                  <c:v>0.2</c:v>
                </c:pt>
                <c:pt idx="3">
                  <c:v>0.3</c:v>
                </c:pt>
                <c:pt idx="4">
                  <c:v>0.4</c:v>
                </c:pt>
                <c:pt idx="5">
                  <c:v>0.5</c:v>
                </c:pt>
              </c:numCache>
            </c:numRef>
          </c:xVal>
          <c:yVal>
            <c:numRef>
              <c:f>Sheet4!$H$7:$H$12</c:f>
              <c:numCache>
                <c:formatCode>General</c:formatCode>
                <c:ptCount val="6"/>
                <c:pt idx="0">
                  <c:v>36.2</c:v>
                </c:pt>
                <c:pt idx="1">
                  <c:v>34.4</c:v>
                </c:pt>
                <c:pt idx="2">
                  <c:v>32.1</c:v>
                </c:pt>
                <c:pt idx="3">
                  <c:v>31.4</c:v>
                </c:pt>
                <c:pt idx="4">
                  <c:v>31.8</c:v>
                </c:pt>
                <c:pt idx="5">
                  <c:v>31.8</c:v>
                </c:pt>
              </c:numCache>
            </c:numRef>
          </c:yVal>
          <c:smooth val="0"/>
        </c:ser>
        <c:dLbls>
          <c:showLegendKey val="0"/>
          <c:showVal val="0"/>
          <c:showCatName val="0"/>
          <c:showSerName val="0"/>
          <c:showPercent val="0"/>
          <c:showBubbleSize val="0"/>
        </c:dLbls>
        <c:axId val="1465947648"/>
        <c:axId val="1465957440"/>
      </c:scatterChart>
      <c:valAx>
        <c:axId val="1465947648"/>
        <c:scaling>
          <c:orientation val="minMax"/>
        </c:scaling>
        <c:delete val="0"/>
        <c:axPos val="b"/>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r>
                  <a:rPr lang="zh-CN" altLang="en-US">
                    <a:latin typeface="宋体" panose="02010600030101010101" charset="-122"/>
                    <a:ea typeface="宋体" panose="02010600030101010101" charset="-122"/>
                  </a:rPr>
                  <a:t>聚甘油脂肪酸酯添加量</a:t>
                </a:r>
                <a:r>
                  <a:rPr lang="en-US" altLang="zh-CN">
                    <a:latin typeface="宋体" panose="02010600030101010101" charset="-122"/>
                    <a:ea typeface="宋体" panose="02010600030101010101" charset="-122"/>
                  </a:rPr>
                  <a:t>/%</a:t>
                </a:r>
                <a:endParaRPr lang="zh-CN" altLang="en-US">
                  <a:latin typeface="宋体" panose="02010600030101010101" charset="-122"/>
                  <a:ea typeface="宋体" panose="02010600030101010101" charset="-122"/>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465957440"/>
        <c:crosses val="autoZero"/>
        <c:crossBetween val="midCat"/>
      </c:valAx>
      <c:valAx>
        <c:axId val="1465957440"/>
        <c:scaling>
          <c:orientation val="minMax"/>
        </c:scaling>
        <c:delete val="0"/>
        <c:axPos val="l"/>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r>
                  <a:rPr lang="zh-CN" altLang="en-US">
                    <a:latin typeface="宋体" panose="02010600030101010101" charset="-122"/>
                    <a:ea typeface="宋体" panose="02010600030101010101" charset="-122"/>
                  </a:rPr>
                  <a:t>产品吸油率</a:t>
                </a:r>
                <a:r>
                  <a:rPr lang="en-US" altLang="zh-CN">
                    <a:latin typeface="宋体" panose="02010600030101010101" charset="-122"/>
                    <a:ea typeface="宋体" panose="02010600030101010101" charset="-122"/>
                  </a:rPr>
                  <a:t>/%</a:t>
                </a:r>
                <a:endParaRPr lang="zh-CN" altLang="en-US">
                  <a:latin typeface="宋体" panose="02010600030101010101" charset="-122"/>
                  <a:ea typeface="宋体" panose="02010600030101010101" charset="-122"/>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p>
        </c:txPr>
        <c:crossAx val="1465947648"/>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AFD2-C8E5-48B0-92CB-8CDC4725A47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1691</Words>
  <Characters>9643</Characters>
  <Lines>80</Lines>
  <Paragraphs>22</Paragraphs>
  <TotalTime>0</TotalTime>
  <ScaleCrop>false</ScaleCrop>
  <LinksUpToDate>false</LinksUpToDate>
  <CharactersWithSpaces>11312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2024-01-03T09:12:00Z</dcterms:created>
  <dc:creator>ThinkPad</dc:creator>
  <cp:lastModifiedBy>娜娜</cp:lastModifiedBy>
  <cp:lastPrinted>2019-08-23T10:01:00Z</cp:lastPrinted>
  <dcterms:modified xsi:type="dcterms:W3CDTF">2024-02-02T06:57:46Z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58EB80F54DEC474DBBA417A339042C6F_12</vt:lpwstr>
  </property>
</Properties>
</file>