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929370A">
      <w:pPr>
        <w:adjustRightInd w:val="0"/>
        <w:snapToGrid w:val="0"/>
        <w:rPr>
          <w:rFonts w:ascii="黑体" w:hAnsi="黑体" w:eastAsia="黑体"/>
          <w:sz w:val="32"/>
          <w:szCs w:val="32"/>
        </w:rPr>
      </w:pPr>
    </w:p>
    <w:p w14:paraId="08A3ED60">
      <w:pPr>
        <w:adjustRightInd w:val="0"/>
        <w:snapToGrid w:val="0"/>
        <w:rPr>
          <w:rFonts w:ascii="宋体" w:hAnsi="宋体" w:eastAsia="宋体"/>
          <w:szCs w:val="21"/>
        </w:rPr>
      </w:pPr>
    </w:p>
    <w:p w14:paraId="035AA777">
      <w:pPr>
        <w:adjustRightInd w:val="0"/>
        <w:snapToGrid w:val="0"/>
        <w:rPr>
          <w:rFonts w:ascii="宋体" w:hAnsi="宋体" w:eastAsia="宋体"/>
          <w:szCs w:val="21"/>
        </w:rPr>
      </w:pPr>
    </w:p>
    <w:p w14:paraId="6E7437C2">
      <w:pPr>
        <w:adjustRightInd w:val="0"/>
        <w:snapToGrid w:val="0"/>
        <w:rPr>
          <w:rFonts w:ascii="宋体" w:hAnsi="宋体" w:eastAsia="宋体"/>
          <w:szCs w:val="21"/>
        </w:rPr>
      </w:pPr>
    </w:p>
    <w:p w14:paraId="0ECC7645">
      <w:pPr>
        <w:adjustRightInd w:val="0"/>
        <w:snapToGrid w:val="0"/>
        <w:rPr>
          <w:rFonts w:ascii="宋体" w:hAnsi="宋体" w:eastAsia="宋体"/>
          <w:szCs w:val="21"/>
        </w:rPr>
      </w:pPr>
    </w:p>
    <w:p w14:paraId="6A8EA120">
      <w:pPr>
        <w:adjustRightInd w:val="0"/>
        <w:snapToGrid w:val="0"/>
        <w:rPr>
          <w:rFonts w:ascii="宋体" w:hAnsi="宋体" w:eastAsia="宋体"/>
          <w:szCs w:val="21"/>
        </w:rPr>
      </w:pPr>
    </w:p>
    <w:p w14:paraId="30F31684">
      <w:pPr>
        <w:adjustRightInd w:val="0"/>
        <w:snapToGrid w:val="0"/>
        <w:jc w:val="center"/>
        <w:rPr>
          <w:rFonts w:ascii="仿宋" w:hAnsi="仿宋" w:eastAsia="仿宋"/>
          <w:snapToGrid w:val="0"/>
          <w:spacing w:val="20"/>
          <w:kern w:val="0"/>
          <w:sz w:val="52"/>
          <w:szCs w:val="52"/>
        </w:rPr>
      </w:pPr>
      <w:r>
        <w:rPr>
          <w:rFonts w:hint="eastAsia" w:ascii="仿宋" w:hAnsi="仿宋" w:eastAsia="仿宋"/>
          <w:snapToGrid w:val="0"/>
          <w:spacing w:val="20"/>
          <w:kern w:val="0"/>
          <w:sz w:val="52"/>
          <w:szCs w:val="52"/>
        </w:rPr>
        <w:t>中国粮油学会团体标准</w:t>
      </w:r>
    </w:p>
    <w:p w14:paraId="4B388288">
      <w:pPr>
        <w:adjustRightInd w:val="0"/>
        <w:snapToGrid w:val="0"/>
        <w:rPr>
          <w:rFonts w:ascii="宋体" w:hAnsi="宋体" w:eastAsia="宋体"/>
          <w:szCs w:val="21"/>
        </w:rPr>
      </w:pPr>
    </w:p>
    <w:p w14:paraId="24923964">
      <w:pPr>
        <w:adjustRightInd w:val="0"/>
        <w:snapToGrid w:val="0"/>
        <w:rPr>
          <w:rFonts w:ascii="宋体" w:hAnsi="宋体" w:eastAsia="宋体"/>
          <w:szCs w:val="21"/>
        </w:rPr>
      </w:pPr>
    </w:p>
    <w:p w14:paraId="5F352613">
      <w:pPr>
        <w:adjustRightInd w:val="0"/>
        <w:snapToGrid w:val="0"/>
        <w:rPr>
          <w:rFonts w:ascii="宋体" w:hAnsi="宋体" w:eastAsia="宋体"/>
          <w:szCs w:val="21"/>
        </w:rPr>
      </w:pPr>
    </w:p>
    <w:p w14:paraId="6DEB11EF">
      <w:pPr>
        <w:adjustRightInd w:val="0"/>
        <w:snapToGrid w:val="0"/>
        <w:rPr>
          <w:rFonts w:ascii="宋体" w:hAnsi="宋体" w:eastAsia="宋体"/>
          <w:szCs w:val="21"/>
        </w:rPr>
      </w:pPr>
    </w:p>
    <w:p w14:paraId="48CEFA99">
      <w:pPr>
        <w:adjustRightInd w:val="0"/>
        <w:snapToGrid w:val="0"/>
        <w:rPr>
          <w:rFonts w:ascii="宋体" w:hAnsi="宋体" w:eastAsia="宋体"/>
          <w:szCs w:val="21"/>
        </w:rPr>
      </w:pPr>
    </w:p>
    <w:p w14:paraId="1885DC41">
      <w:pPr>
        <w:adjustRightInd w:val="0"/>
        <w:snapToGrid w:val="0"/>
        <w:rPr>
          <w:rFonts w:ascii="宋体" w:hAnsi="宋体" w:eastAsia="宋体"/>
          <w:szCs w:val="21"/>
        </w:rPr>
      </w:pPr>
    </w:p>
    <w:p w14:paraId="1C450205">
      <w:pPr>
        <w:adjustRightInd w:val="0"/>
        <w:snapToGrid w:val="0"/>
        <w:rPr>
          <w:rFonts w:ascii="宋体" w:hAnsi="宋体" w:eastAsia="宋体"/>
          <w:szCs w:val="21"/>
        </w:rPr>
      </w:pPr>
    </w:p>
    <w:p w14:paraId="351FB308">
      <w:pPr>
        <w:adjustRightInd w:val="0"/>
        <w:snapToGrid w:val="0"/>
        <w:rPr>
          <w:rFonts w:ascii="宋体" w:hAnsi="宋体" w:eastAsia="宋体"/>
          <w:szCs w:val="21"/>
        </w:rPr>
      </w:pPr>
    </w:p>
    <w:p w14:paraId="42527A45">
      <w:pPr>
        <w:adjustRightInd w:val="0"/>
        <w:snapToGrid w:val="0"/>
        <w:rPr>
          <w:rFonts w:ascii="宋体" w:hAnsi="宋体" w:eastAsia="宋体"/>
          <w:szCs w:val="21"/>
        </w:rPr>
      </w:pPr>
    </w:p>
    <w:p w14:paraId="70483BC4">
      <w:pPr>
        <w:adjustRightInd w:val="0"/>
        <w:snapToGrid w:val="0"/>
        <w:rPr>
          <w:rFonts w:ascii="宋体" w:hAnsi="宋体" w:eastAsia="宋体"/>
          <w:szCs w:val="21"/>
        </w:rPr>
      </w:pPr>
    </w:p>
    <w:p w14:paraId="6D51D26B">
      <w:pPr>
        <w:adjustRightInd w:val="0"/>
        <w:snapToGrid w:val="0"/>
        <w:rPr>
          <w:rFonts w:ascii="宋体" w:hAnsi="宋体" w:eastAsia="宋体"/>
          <w:szCs w:val="21"/>
        </w:rPr>
      </w:pPr>
    </w:p>
    <w:p w14:paraId="4B62CA73">
      <w:pPr>
        <w:adjustRightInd w:val="0"/>
        <w:snapToGrid w:val="0"/>
        <w:rPr>
          <w:rFonts w:ascii="宋体" w:hAnsi="宋体" w:eastAsia="宋体"/>
          <w:szCs w:val="21"/>
        </w:rPr>
      </w:pPr>
    </w:p>
    <w:p w14:paraId="4BB2DA80">
      <w:pPr>
        <w:adjustRightInd w:val="0"/>
        <w:snapToGrid w:val="0"/>
        <w:jc w:val="center"/>
        <w:rPr>
          <w:rFonts w:hint="eastAsia" w:ascii="黑体" w:hAnsi="黑体" w:eastAsia="黑体"/>
          <w:b/>
          <w:sz w:val="52"/>
          <w:szCs w:val="52"/>
        </w:rPr>
      </w:pPr>
      <w:bookmarkStart w:id="0" w:name="OLE_LINK4"/>
      <w:bookmarkStart w:id="1" w:name="OLE_LINK1"/>
      <w:bookmarkStart w:id="2" w:name="OLE_LINK11"/>
      <w:r>
        <w:rPr>
          <w:rFonts w:hint="eastAsia" w:ascii="黑体" w:hAnsi="黑体" w:eastAsia="黑体"/>
          <w:b/>
          <w:sz w:val="52"/>
          <w:szCs w:val="52"/>
        </w:rPr>
        <w:t>粮仓辐射制冷材料应用技术</w:t>
      </w:r>
      <w:bookmarkEnd w:id="0"/>
      <w:r>
        <w:rPr>
          <w:rFonts w:hint="eastAsia" w:ascii="黑体" w:hAnsi="黑体" w:eastAsia="黑体"/>
          <w:b/>
          <w:sz w:val="52"/>
          <w:szCs w:val="52"/>
        </w:rPr>
        <w:t>规程</w:t>
      </w:r>
      <w:bookmarkEnd w:id="1"/>
      <w:bookmarkEnd w:id="2"/>
    </w:p>
    <w:p w14:paraId="2049688C">
      <w:pPr>
        <w:adjustRightInd w:val="0"/>
        <w:snapToGrid w:val="0"/>
        <w:spacing w:before="156" w:beforeLines="50"/>
        <w:jc w:val="center"/>
        <w:rPr>
          <w:rFonts w:ascii="仿宋" w:hAnsi="仿宋" w:eastAsia="仿宋"/>
          <w:b/>
          <w:sz w:val="44"/>
          <w:szCs w:val="44"/>
        </w:rPr>
      </w:pPr>
      <w:r>
        <w:rPr>
          <w:rFonts w:hint="eastAsia" w:ascii="仿宋" w:hAnsi="仿宋" w:eastAsia="仿宋"/>
          <w:b/>
          <w:sz w:val="44"/>
          <w:szCs w:val="44"/>
        </w:rPr>
        <w:t>（</w:t>
      </w:r>
      <w:r>
        <w:rPr>
          <w:rFonts w:hint="eastAsia" w:ascii="仿宋" w:hAnsi="仿宋" w:eastAsia="仿宋"/>
          <w:b/>
          <w:sz w:val="44"/>
          <w:szCs w:val="44"/>
          <w:lang w:eastAsia="zh-CN"/>
        </w:rPr>
        <w:t>征求意见</w:t>
      </w:r>
      <w:r>
        <w:rPr>
          <w:rFonts w:hint="eastAsia" w:ascii="仿宋" w:hAnsi="仿宋" w:eastAsia="仿宋"/>
          <w:b/>
          <w:sz w:val="44"/>
          <w:szCs w:val="44"/>
        </w:rPr>
        <w:t>稿）</w:t>
      </w:r>
    </w:p>
    <w:p w14:paraId="39C84895">
      <w:pPr>
        <w:adjustRightInd w:val="0"/>
        <w:snapToGrid w:val="0"/>
        <w:spacing w:before="156" w:beforeLines="50"/>
        <w:jc w:val="center"/>
        <w:rPr>
          <w:rFonts w:ascii="宋体" w:hAnsi="宋体" w:eastAsia="宋体"/>
          <w:b/>
          <w:sz w:val="44"/>
          <w:szCs w:val="44"/>
        </w:rPr>
      </w:pPr>
      <w:r>
        <w:rPr>
          <w:rFonts w:hint="eastAsia" w:ascii="仿宋" w:hAnsi="仿宋" w:eastAsia="仿宋"/>
          <w:b/>
          <w:sz w:val="44"/>
          <w:szCs w:val="44"/>
        </w:rPr>
        <w:t>编制说明</w:t>
      </w:r>
    </w:p>
    <w:p w14:paraId="09633344">
      <w:pPr>
        <w:adjustRightInd w:val="0"/>
        <w:snapToGrid w:val="0"/>
        <w:rPr>
          <w:rFonts w:ascii="宋体" w:hAnsi="宋体" w:eastAsia="宋体"/>
          <w:b/>
          <w:szCs w:val="21"/>
        </w:rPr>
      </w:pPr>
    </w:p>
    <w:p w14:paraId="139261F6">
      <w:pPr>
        <w:adjustRightInd w:val="0"/>
        <w:snapToGrid w:val="0"/>
        <w:rPr>
          <w:rFonts w:ascii="宋体" w:hAnsi="宋体" w:eastAsia="宋体"/>
          <w:b/>
          <w:szCs w:val="21"/>
        </w:rPr>
      </w:pPr>
    </w:p>
    <w:p w14:paraId="576DF4AE">
      <w:pPr>
        <w:adjustRightInd w:val="0"/>
        <w:snapToGrid w:val="0"/>
        <w:rPr>
          <w:rFonts w:ascii="宋体" w:hAnsi="宋体" w:eastAsia="宋体"/>
          <w:b/>
          <w:szCs w:val="21"/>
        </w:rPr>
      </w:pPr>
    </w:p>
    <w:p w14:paraId="045691DB">
      <w:pPr>
        <w:adjustRightInd w:val="0"/>
        <w:snapToGrid w:val="0"/>
        <w:rPr>
          <w:rFonts w:ascii="宋体" w:hAnsi="宋体" w:eastAsia="宋体"/>
          <w:b/>
          <w:szCs w:val="21"/>
        </w:rPr>
      </w:pPr>
    </w:p>
    <w:p w14:paraId="3A93F5C3">
      <w:pPr>
        <w:adjustRightInd w:val="0"/>
        <w:snapToGrid w:val="0"/>
        <w:rPr>
          <w:rFonts w:ascii="宋体" w:hAnsi="宋体" w:eastAsia="宋体"/>
          <w:b/>
          <w:szCs w:val="21"/>
        </w:rPr>
      </w:pPr>
    </w:p>
    <w:p w14:paraId="0CDE44F1">
      <w:pPr>
        <w:adjustRightInd w:val="0"/>
        <w:snapToGrid w:val="0"/>
        <w:rPr>
          <w:rFonts w:ascii="宋体" w:hAnsi="宋体" w:eastAsia="宋体"/>
          <w:b/>
          <w:szCs w:val="21"/>
        </w:rPr>
      </w:pPr>
    </w:p>
    <w:p w14:paraId="24F61D06">
      <w:pPr>
        <w:adjustRightInd w:val="0"/>
        <w:snapToGrid w:val="0"/>
        <w:rPr>
          <w:rFonts w:ascii="宋体" w:hAnsi="宋体" w:eastAsia="宋体"/>
          <w:b/>
          <w:szCs w:val="21"/>
        </w:rPr>
      </w:pPr>
    </w:p>
    <w:p w14:paraId="64EC9A69">
      <w:pPr>
        <w:adjustRightInd w:val="0"/>
        <w:snapToGrid w:val="0"/>
        <w:rPr>
          <w:rFonts w:ascii="宋体" w:hAnsi="宋体" w:eastAsia="宋体"/>
          <w:b/>
          <w:szCs w:val="21"/>
        </w:rPr>
      </w:pPr>
    </w:p>
    <w:p w14:paraId="5EE25543">
      <w:pPr>
        <w:adjustRightInd w:val="0"/>
        <w:snapToGrid w:val="0"/>
        <w:rPr>
          <w:rFonts w:ascii="宋体" w:hAnsi="宋体" w:eastAsia="宋体"/>
          <w:b/>
          <w:szCs w:val="21"/>
        </w:rPr>
      </w:pPr>
    </w:p>
    <w:p w14:paraId="183C49B5">
      <w:pPr>
        <w:adjustRightInd w:val="0"/>
        <w:snapToGrid w:val="0"/>
        <w:rPr>
          <w:rFonts w:ascii="宋体" w:hAnsi="宋体" w:eastAsia="宋体"/>
          <w:b/>
          <w:szCs w:val="21"/>
        </w:rPr>
      </w:pPr>
    </w:p>
    <w:p w14:paraId="57A328E0">
      <w:pPr>
        <w:adjustRightInd w:val="0"/>
        <w:snapToGrid w:val="0"/>
        <w:rPr>
          <w:rFonts w:ascii="宋体" w:hAnsi="宋体" w:eastAsia="宋体"/>
          <w:b/>
          <w:szCs w:val="21"/>
        </w:rPr>
      </w:pPr>
    </w:p>
    <w:p w14:paraId="698CCC20">
      <w:pPr>
        <w:adjustRightInd w:val="0"/>
        <w:snapToGrid w:val="0"/>
        <w:rPr>
          <w:rFonts w:ascii="宋体" w:hAnsi="宋体" w:eastAsia="宋体"/>
          <w:b/>
          <w:szCs w:val="21"/>
        </w:rPr>
      </w:pPr>
    </w:p>
    <w:p w14:paraId="24231CFC">
      <w:pPr>
        <w:adjustRightInd w:val="0"/>
        <w:snapToGrid w:val="0"/>
        <w:rPr>
          <w:rFonts w:ascii="宋体" w:hAnsi="宋体" w:eastAsia="宋体"/>
          <w:b/>
          <w:szCs w:val="21"/>
        </w:rPr>
      </w:pPr>
    </w:p>
    <w:p w14:paraId="3D34A2ED">
      <w:pPr>
        <w:adjustRightInd w:val="0"/>
        <w:snapToGrid w:val="0"/>
        <w:rPr>
          <w:rFonts w:ascii="宋体" w:hAnsi="宋体" w:eastAsia="宋体"/>
          <w:b/>
          <w:szCs w:val="21"/>
        </w:rPr>
      </w:pPr>
    </w:p>
    <w:p w14:paraId="405E2181">
      <w:pPr>
        <w:adjustRightInd w:val="0"/>
        <w:snapToGrid w:val="0"/>
        <w:jc w:val="center"/>
        <w:rPr>
          <w:rFonts w:ascii="仿宋" w:hAnsi="仿宋" w:eastAsia="仿宋"/>
          <w:b/>
          <w:sz w:val="36"/>
          <w:szCs w:val="36"/>
        </w:rPr>
      </w:pPr>
      <w:r>
        <w:rPr>
          <w:rFonts w:hint="eastAsia" w:ascii="仿宋" w:hAnsi="仿宋" w:eastAsia="仿宋"/>
          <w:b/>
          <w:sz w:val="36"/>
          <w:szCs w:val="36"/>
        </w:rPr>
        <w:t>标准起草组</w:t>
      </w:r>
    </w:p>
    <w:p w14:paraId="61501322">
      <w:pPr>
        <w:adjustRightInd w:val="0"/>
        <w:snapToGrid w:val="0"/>
        <w:spacing w:before="156" w:beforeLines="50"/>
        <w:jc w:val="center"/>
        <w:rPr>
          <w:rFonts w:ascii="Times New Roman" w:hAnsi="Times New Roman" w:eastAsia="仿宋" w:cs="Times New Roman"/>
          <w:b/>
          <w:szCs w:val="21"/>
        </w:rPr>
      </w:pPr>
      <w:r>
        <w:rPr>
          <w:rFonts w:ascii="Times New Roman" w:hAnsi="Times New Roman" w:eastAsia="仿宋" w:cs="Times New Roman"/>
          <w:b/>
          <w:sz w:val="36"/>
          <w:szCs w:val="36"/>
        </w:rPr>
        <w:t>20</w:t>
      </w:r>
      <w:r>
        <w:rPr>
          <w:rFonts w:hint="eastAsia" w:ascii="Times New Roman" w:hAnsi="Times New Roman" w:eastAsia="仿宋" w:cs="Times New Roman"/>
          <w:b/>
          <w:sz w:val="36"/>
          <w:szCs w:val="36"/>
          <w:lang w:val="en-US" w:eastAsia="zh-CN"/>
        </w:rPr>
        <w:t>26</w:t>
      </w:r>
      <w:r>
        <w:rPr>
          <w:rFonts w:ascii="Times New Roman" w:hAnsi="仿宋" w:eastAsia="仿宋" w:cs="Times New Roman"/>
          <w:b/>
          <w:sz w:val="36"/>
          <w:szCs w:val="36"/>
        </w:rPr>
        <w:t>年</w:t>
      </w:r>
      <w:r>
        <w:rPr>
          <w:rFonts w:hint="eastAsia" w:ascii="Times New Roman" w:hAnsi="Times New Roman" w:eastAsia="仿宋" w:cs="Times New Roman"/>
          <w:b/>
          <w:sz w:val="36"/>
          <w:szCs w:val="36"/>
          <w:lang w:val="en-US" w:eastAsia="zh-CN"/>
        </w:rPr>
        <w:t>3</w:t>
      </w:r>
      <w:r>
        <w:rPr>
          <w:rFonts w:ascii="Times New Roman" w:hAnsi="仿宋" w:eastAsia="仿宋" w:cs="Times New Roman"/>
          <w:b/>
          <w:sz w:val="36"/>
          <w:szCs w:val="36"/>
        </w:rPr>
        <w:t>月</w:t>
      </w:r>
    </w:p>
    <w:p w14:paraId="227C8F7F">
      <w:pPr>
        <w:adjustRightInd w:val="0"/>
        <w:snapToGrid w:val="0"/>
        <w:rPr>
          <w:rFonts w:ascii="宋体" w:hAnsi="宋体" w:eastAsia="宋体"/>
          <w:b/>
          <w:szCs w:val="21"/>
        </w:rPr>
      </w:pPr>
    </w:p>
    <w:p w14:paraId="629971A6">
      <w:pPr>
        <w:adjustRightInd w:val="0"/>
        <w:snapToGrid w:val="0"/>
        <w:rPr>
          <w:rFonts w:ascii="宋体" w:hAnsi="宋体" w:eastAsia="宋体"/>
          <w:b/>
          <w:szCs w:val="21"/>
        </w:rPr>
      </w:pPr>
    </w:p>
    <w:p w14:paraId="25FD88A2">
      <w:pPr>
        <w:adjustRightInd w:val="0"/>
        <w:snapToGrid w:val="0"/>
        <w:rPr>
          <w:rFonts w:ascii="宋体" w:hAnsi="宋体" w:eastAsia="宋体"/>
          <w:b/>
          <w:szCs w:val="21"/>
        </w:rPr>
      </w:pPr>
    </w:p>
    <w:p w14:paraId="12379F1D">
      <w:pPr>
        <w:adjustRightInd w:val="0"/>
        <w:snapToGrid w:val="0"/>
        <w:jc w:val="left"/>
        <w:rPr>
          <w:rFonts w:ascii="宋体" w:hAnsi="宋体" w:eastAsia="宋体"/>
          <w:szCs w:val="21"/>
        </w:rPr>
      </w:pPr>
    </w:p>
    <w:p w14:paraId="4418112D">
      <w:pPr>
        <w:adjustRightInd w:val="0"/>
        <w:snapToGrid w:val="0"/>
        <w:spacing w:after="156" w:afterLines="50" w:line="360" w:lineRule="auto"/>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b w:val="0"/>
          <w:bCs/>
          <w:sz w:val="32"/>
          <w:szCs w:val="32"/>
        </w:rPr>
        <w:t>粮仓辐射制冷材料应用技术规程</w:t>
      </w:r>
      <w:r>
        <w:rPr>
          <w:rFonts w:hint="eastAsia" w:ascii="黑体" w:hAnsi="黑体" w:eastAsia="黑体"/>
          <w:sz w:val="32"/>
          <w:szCs w:val="32"/>
        </w:rPr>
        <w:t>》编制说明</w:t>
      </w:r>
    </w:p>
    <w:p w14:paraId="307F14E7">
      <w:pPr>
        <w:numPr>
          <w:ilvl w:val="0"/>
          <w:numId w:val="1"/>
        </w:numPr>
        <w:adjustRightInd w:val="0"/>
        <w:snapToGrid w:val="0"/>
        <w:spacing w:before="312" w:beforeLines="100" w:line="360" w:lineRule="auto"/>
        <w:ind w:firstLine="482" w:firstLineChars="200"/>
        <w:jc w:val="left"/>
        <w:rPr>
          <w:rFonts w:hint="eastAsia" w:ascii="宋体" w:hAnsi="宋体" w:eastAsia="宋体"/>
          <w:sz w:val="24"/>
          <w:szCs w:val="24"/>
        </w:rPr>
      </w:pPr>
      <w:r>
        <w:rPr>
          <w:rFonts w:ascii="宋体" w:hAnsi="宋体" w:eastAsia="宋体"/>
          <w:b/>
          <w:sz w:val="24"/>
          <w:szCs w:val="24"/>
        </w:rPr>
        <w:t>工作简况</w:t>
      </w:r>
    </w:p>
    <w:p w14:paraId="3F9BB1EA">
      <w:pPr>
        <w:adjustRightInd w:val="0"/>
        <w:snapToGrid w:val="0"/>
        <w:spacing w:line="360" w:lineRule="auto"/>
        <w:ind w:firstLine="482" w:firstLineChars="200"/>
        <w:jc w:val="left"/>
        <w:rPr>
          <w:rFonts w:ascii="宋体" w:hAnsi="宋体" w:eastAsia="宋体"/>
          <w:sz w:val="24"/>
          <w:szCs w:val="24"/>
        </w:rPr>
      </w:pPr>
      <w:r>
        <w:rPr>
          <w:rFonts w:hint="eastAsia" w:ascii="宋体" w:hAnsi="宋体" w:eastAsia="宋体"/>
          <w:b/>
          <w:sz w:val="24"/>
          <w:szCs w:val="24"/>
        </w:rPr>
        <w:t>1.1 任务来源</w:t>
      </w:r>
      <w:r>
        <w:rPr>
          <w:rFonts w:hint="eastAsia" w:ascii="宋体" w:hAnsi="宋体" w:eastAsia="宋体"/>
          <w:bCs/>
          <w:sz w:val="24"/>
          <w:szCs w:val="24"/>
          <w:u w:val="single"/>
        </w:rPr>
        <w:t>（包括</w:t>
      </w:r>
      <w:bookmarkStart w:id="3" w:name="_Hlk111477055"/>
      <w:r>
        <w:rPr>
          <w:rFonts w:hint="eastAsia" w:ascii="宋体" w:hAnsi="宋体" w:eastAsia="宋体"/>
          <w:bCs/>
          <w:sz w:val="24"/>
          <w:szCs w:val="24"/>
          <w:u w:val="single"/>
        </w:rPr>
        <w:t>标准下达计划</w:t>
      </w:r>
      <w:bookmarkEnd w:id="3"/>
      <w:r>
        <w:rPr>
          <w:rFonts w:hint="eastAsia" w:ascii="宋体" w:hAnsi="宋体" w:eastAsia="宋体"/>
          <w:bCs/>
          <w:sz w:val="24"/>
          <w:szCs w:val="24"/>
          <w:u w:val="single"/>
        </w:rPr>
        <w:t>、标准计划项目调整、</w:t>
      </w:r>
      <w:bookmarkStart w:id="4" w:name="_Hlk111477094"/>
      <w:r>
        <w:rPr>
          <w:rFonts w:hint="eastAsia" w:ascii="宋体" w:hAnsi="宋体" w:eastAsia="宋体"/>
          <w:bCs/>
          <w:sz w:val="24"/>
          <w:szCs w:val="24"/>
          <w:u w:val="single"/>
        </w:rPr>
        <w:t>标准制修订的背景、必要性和重要</w:t>
      </w:r>
      <w:bookmarkEnd w:id="4"/>
      <w:r>
        <w:rPr>
          <w:rFonts w:hint="eastAsia" w:ascii="宋体" w:hAnsi="宋体" w:eastAsia="宋体"/>
          <w:bCs/>
          <w:sz w:val="24"/>
          <w:szCs w:val="24"/>
          <w:u w:val="single"/>
        </w:rPr>
        <w:t>意义等）</w:t>
      </w:r>
    </w:p>
    <w:p w14:paraId="28424A49">
      <w:pPr>
        <w:adjustRightInd w:val="0"/>
        <w:snapToGrid w:val="0"/>
        <w:spacing w:line="360" w:lineRule="auto"/>
        <w:ind w:firstLine="480" w:firstLineChars="200"/>
        <w:jc w:val="left"/>
        <w:rPr>
          <w:rFonts w:ascii="宋体" w:hAnsi="宋体" w:eastAsia="宋体"/>
          <w:sz w:val="24"/>
          <w:szCs w:val="24"/>
        </w:rPr>
      </w:pPr>
      <w:r>
        <w:rPr>
          <w:rFonts w:hint="eastAsia" w:ascii="宋体" w:hAnsi="宋体" w:eastAsia="宋体" w:cs="Times New Roman"/>
          <w:sz w:val="24"/>
          <w:szCs w:val="24"/>
        </w:rPr>
        <w:t>1.1.1 标</w:t>
      </w:r>
      <w:r>
        <w:rPr>
          <w:rFonts w:hint="eastAsia" w:ascii="宋体" w:hAnsi="宋体" w:eastAsia="宋体"/>
          <w:sz w:val="24"/>
          <w:szCs w:val="24"/>
        </w:rPr>
        <w:t>准下达计划（包括标准下达计划文件、标准名称、第一起草单位等）</w:t>
      </w:r>
    </w:p>
    <w:p w14:paraId="17F6141F">
      <w:pPr>
        <w:numPr>
          <w:ilvl w:val="0"/>
          <w:numId w:val="0"/>
        </w:numPr>
        <w:adjustRightInd w:val="0"/>
        <w:snapToGrid w:val="0"/>
        <w:spacing w:before="312" w:beforeLines="100" w:line="360" w:lineRule="auto"/>
        <w:ind w:firstLine="720" w:firstLineChars="300"/>
        <w:jc w:val="left"/>
        <w:rPr>
          <w:rFonts w:hint="eastAsia" w:ascii="宋体" w:hAnsi="宋体" w:eastAsia="宋体"/>
          <w:sz w:val="24"/>
          <w:szCs w:val="24"/>
        </w:rPr>
      </w:pPr>
      <w:r>
        <w:rPr>
          <w:rFonts w:hint="eastAsia" w:ascii="宋体" w:hAnsi="宋体" w:eastAsia="宋体"/>
          <w:sz w:val="24"/>
          <w:szCs w:val="24"/>
        </w:rPr>
        <w:t>本标准由宁波瑞凌新能源科技有限公司提出，中国粮油学会归口，本标准规定了</w:t>
      </w:r>
      <w:bookmarkStart w:id="5" w:name="OLE_LINK2"/>
      <w:bookmarkStart w:id="6" w:name="OLE_LINK3"/>
      <w:r>
        <w:rPr>
          <w:rFonts w:hint="eastAsia" w:ascii="宋体" w:hAnsi="宋体" w:eastAsia="宋体"/>
          <w:sz w:val="24"/>
          <w:szCs w:val="24"/>
        </w:rPr>
        <w:t>粮仓辐射制冷材料应用技术规程</w:t>
      </w:r>
      <w:bookmarkEnd w:id="5"/>
      <w:bookmarkEnd w:id="6"/>
      <w:r>
        <w:rPr>
          <w:rFonts w:hint="eastAsia" w:ascii="宋体" w:hAnsi="宋体" w:eastAsia="宋体"/>
          <w:sz w:val="24"/>
          <w:szCs w:val="24"/>
        </w:rPr>
        <w:t>的材料及配料要求、平面结构以及瓦面结构外表面的施工设计方案、施工的准备以及工艺要求、工程验收的一般规定以及主控项目和一般项目的验收要求、施工后的养护与维护等内容。本标准适用于粮仓辐射制冷材料施工的应用技术规程。</w:t>
      </w:r>
    </w:p>
    <w:p w14:paraId="23111798">
      <w:pPr>
        <w:adjustRightInd w:val="0"/>
        <w:snapToGrid w:val="0"/>
        <w:spacing w:line="360" w:lineRule="auto"/>
        <w:ind w:firstLine="480" w:firstLineChars="200"/>
        <w:jc w:val="left"/>
        <w:rPr>
          <w:rFonts w:ascii="宋体" w:hAnsi="宋体" w:eastAsia="宋体"/>
          <w:sz w:val="24"/>
          <w:szCs w:val="24"/>
        </w:rPr>
      </w:pPr>
      <w:r>
        <w:rPr>
          <w:rFonts w:hint="eastAsia" w:ascii="宋体" w:hAnsi="宋体" w:eastAsia="宋体" w:cs="Times New Roman"/>
          <w:sz w:val="24"/>
          <w:szCs w:val="24"/>
        </w:rPr>
        <w:t>1.1.2 标准计划项目调整（如有，请写明申请调整的具体内容、理由和依据等）</w:t>
      </w:r>
    </w:p>
    <w:p w14:paraId="2B1CA916">
      <w:pPr>
        <w:adjustRightInd w:val="0"/>
        <w:snapToGrid w:val="0"/>
        <w:spacing w:line="360" w:lineRule="auto"/>
        <w:ind w:firstLine="480" w:firstLineChars="200"/>
        <w:jc w:val="left"/>
        <w:rPr>
          <w:rFonts w:ascii="宋体" w:hAnsi="宋体" w:eastAsia="宋体"/>
          <w:sz w:val="24"/>
          <w:szCs w:val="24"/>
        </w:rPr>
      </w:pPr>
      <w:r>
        <w:rPr>
          <w:rFonts w:hint="eastAsia" w:ascii="宋体" w:hAnsi="宋体" w:eastAsia="宋体"/>
          <w:sz w:val="24"/>
          <w:szCs w:val="24"/>
          <w:lang w:eastAsia="zh-CN"/>
        </w:rPr>
        <w:t>标准原计划</w:t>
      </w:r>
      <w:r>
        <w:rPr>
          <w:rFonts w:hint="eastAsia" w:ascii="宋体" w:hAnsi="宋体" w:eastAsia="宋体"/>
          <w:sz w:val="24"/>
          <w:szCs w:val="24"/>
          <w:lang w:val="en-US" w:eastAsia="zh-CN"/>
        </w:rPr>
        <w:t>1年内完成，实际时间有所延长，主要原因是本应用技术规程没有相似的标准可供参考，而且当时的实际案例数量欠缺。只有经过这几年大量的实际施工案例的归纳总结，才得出符合最新实际施工情况的技术规程</w:t>
      </w:r>
      <w:r>
        <w:rPr>
          <w:rFonts w:hint="eastAsia" w:ascii="宋体" w:hAnsi="宋体" w:eastAsia="宋体"/>
          <w:sz w:val="24"/>
          <w:szCs w:val="24"/>
        </w:rPr>
        <w:t>。</w:t>
      </w:r>
    </w:p>
    <w:p w14:paraId="174DD0CA">
      <w:pPr>
        <w:adjustRightInd w:val="0"/>
        <w:snapToGrid w:val="0"/>
        <w:spacing w:line="360" w:lineRule="auto"/>
        <w:ind w:firstLine="480" w:firstLineChars="200"/>
        <w:jc w:val="left"/>
        <w:rPr>
          <w:rFonts w:ascii="宋体" w:hAnsi="宋体" w:eastAsia="宋体"/>
          <w:sz w:val="24"/>
          <w:szCs w:val="24"/>
        </w:rPr>
      </w:pPr>
      <w:r>
        <w:rPr>
          <w:rFonts w:hint="eastAsia" w:ascii="宋体" w:hAnsi="宋体" w:eastAsia="宋体"/>
          <w:sz w:val="24"/>
          <w:szCs w:val="24"/>
        </w:rPr>
        <w:t>1.1.3 标准制修订的背景、必要性和重要意义</w:t>
      </w:r>
    </w:p>
    <w:p w14:paraId="74BD366D">
      <w:pPr>
        <w:adjustRightInd w:val="0"/>
        <w:snapToGrid w:val="0"/>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随着全球气候变暖，粮食仓储建筑对节能减排的需求越发迫切，辐射制冷材料应用于粮仓建设越来越多，急需制定相应的应用技术规程。施工现场的复杂性、多样性以及施工技术的不断革新，要求施工单位必须采取更为科学、精细的技术管理手段，以确保工程质量、施工安全和项目进度。</w:t>
      </w:r>
    </w:p>
    <w:p w14:paraId="3622A8A4">
      <w:pPr>
        <w:adjustRightInd w:val="0"/>
        <w:snapToGrid w:val="0"/>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但由于缺乏统一的施工技术规范指导，各企业在实际操作中可能存在对技术标准理解不一、执行力度参差不齐的现象，这直接导致了施工质量的不稳定性，影响了工程的整体品质。部分企业内部的技术管理职责划分模糊，流程设置不合理，甚至存在管理漏洞，导致技术管理工作混乱，对工程进度和质量控制产生负面影响。另外，技术创新能力不足与技术管理人员素质参差不齐也是不容忽视的问题。面对粮仓辐射制冷材料应用技术的不断革新，部分企业未能及时跟进与应用，技术管理人员的专业知识更新与技能提升也相对滞后，这些因素均在一定程度上制约了工程质量和效益的提升。</w:t>
      </w:r>
    </w:p>
    <w:p w14:paraId="5027B308">
      <w:pPr>
        <w:adjustRightInd w:val="0"/>
        <w:snapToGrid w:val="0"/>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鉴于以上现状，</w:t>
      </w:r>
      <w:bookmarkStart w:id="7" w:name="OLE_LINK12"/>
      <w:r>
        <w:rPr>
          <w:rFonts w:hint="eastAsia" w:ascii="宋体" w:hAnsi="宋体" w:eastAsia="宋体"/>
          <w:sz w:val="24"/>
          <w:szCs w:val="24"/>
        </w:rPr>
        <w:t>制定粮仓辐射制冷材料应用技术规程</w:t>
      </w:r>
      <w:bookmarkEnd w:id="7"/>
      <w:r>
        <w:rPr>
          <w:rFonts w:hint="eastAsia" w:ascii="宋体" w:hAnsi="宋体" w:eastAsia="宋体"/>
          <w:sz w:val="24"/>
          <w:szCs w:val="24"/>
        </w:rPr>
        <w:t>，能够统一技术标准，为各企业提供明确、权威的操作指南，确保施工过程中技术标准的严格执行，从而提高工程的整体质量与一致性。</w:t>
      </w:r>
    </w:p>
    <w:p w14:paraId="34ACF087">
      <w:pPr>
        <w:adjustRightInd w:val="0"/>
        <w:snapToGrid w:val="0"/>
        <w:spacing w:line="360" w:lineRule="auto"/>
        <w:ind w:firstLine="482" w:firstLineChars="200"/>
        <w:jc w:val="left"/>
        <w:rPr>
          <w:rFonts w:ascii="宋体" w:hAnsi="宋体" w:eastAsia="宋体"/>
          <w:bCs/>
          <w:sz w:val="24"/>
          <w:szCs w:val="24"/>
        </w:rPr>
      </w:pPr>
      <w:r>
        <w:rPr>
          <w:rFonts w:hint="eastAsia" w:ascii="宋体" w:hAnsi="宋体" w:eastAsia="宋体"/>
          <w:b/>
          <w:sz w:val="24"/>
          <w:szCs w:val="24"/>
        </w:rPr>
        <w:t>1.2 协作单位</w:t>
      </w:r>
      <w:r>
        <w:rPr>
          <w:rFonts w:hint="eastAsia" w:ascii="宋体" w:hAnsi="宋体" w:eastAsia="宋体"/>
          <w:bCs/>
          <w:sz w:val="24"/>
          <w:szCs w:val="24"/>
          <w:u w:val="single"/>
        </w:rPr>
        <w:t>（除第一起草单位外的其他起草单位）</w:t>
      </w:r>
    </w:p>
    <w:p w14:paraId="78998CFD">
      <w:pPr>
        <w:numPr>
          <w:ilvl w:val="0"/>
          <w:numId w:val="0"/>
        </w:numPr>
        <w:adjustRightInd w:val="0"/>
        <w:snapToGrid w:val="0"/>
        <w:spacing w:before="312" w:beforeLines="100" w:line="360" w:lineRule="auto"/>
        <w:ind w:firstLine="960" w:firstLineChars="400"/>
        <w:jc w:val="left"/>
        <w:rPr>
          <w:rFonts w:hint="eastAsia" w:ascii="宋体" w:hAnsi="宋体" w:eastAsia="宋体"/>
          <w:sz w:val="24"/>
          <w:szCs w:val="24"/>
        </w:rPr>
      </w:pPr>
      <w:r>
        <w:rPr>
          <w:rFonts w:hint="eastAsia" w:ascii="宋体" w:hAnsi="宋体" w:eastAsia="宋体"/>
          <w:sz w:val="24"/>
          <w:szCs w:val="24"/>
          <w:lang w:eastAsia="zh-CN"/>
        </w:rPr>
        <w:t>协作单位有</w:t>
      </w:r>
      <w:r>
        <w:rPr>
          <w:rFonts w:hint="eastAsia" w:ascii="宋体" w:hAnsi="宋体" w:eastAsia="宋体"/>
          <w:sz w:val="24"/>
          <w:szCs w:val="24"/>
        </w:rPr>
        <w:t>河南工业大学、中储粮成都储藏研究院有限公司、浙江省粮食局直属粮油储备库。</w:t>
      </w:r>
    </w:p>
    <w:p w14:paraId="5FC6CCB7">
      <w:pPr>
        <w:adjustRightInd w:val="0"/>
        <w:snapToGrid w:val="0"/>
        <w:spacing w:line="360" w:lineRule="auto"/>
        <w:ind w:firstLine="482" w:firstLineChars="200"/>
        <w:jc w:val="left"/>
        <w:rPr>
          <w:rFonts w:ascii="宋体" w:hAnsi="宋体" w:eastAsia="宋体"/>
          <w:bCs/>
          <w:sz w:val="24"/>
          <w:szCs w:val="24"/>
        </w:rPr>
      </w:pPr>
      <w:r>
        <w:rPr>
          <w:rFonts w:hint="eastAsia" w:ascii="宋体" w:hAnsi="宋体" w:eastAsia="宋体"/>
          <w:b/>
          <w:sz w:val="24"/>
          <w:szCs w:val="24"/>
        </w:rPr>
        <w:t>1.3 主要工作过程</w:t>
      </w:r>
      <w:r>
        <w:rPr>
          <w:rFonts w:hint="eastAsia" w:ascii="宋体" w:hAnsi="宋体" w:eastAsia="宋体"/>
          <w:bCs/>
          <w:sz w:val="24"/>
          <w:szCs w:val="24"/>
          <w:u w:val="single"/>
        </w:rPr>
        <w:t>（应包括标准起草阶段、征求意见阶段、审查阶段、报批阶段等）</w:t>
      </w:r>
    </w:p>
    <w:p w14:paraId="5504497D">
      <w:pPr>
        <w:numPr>
          <w:ilvl w:val="0"/>
          <w:numId w:val="0"/>
        </w:numPr>
        <w:adjustRightInd w:val="0"/>
        <w:snapToGrid w:val="0"/>
        <w:spacing w:before="312" w:beforeLines="100" w:line="360" w:lineRule="auto"/>
        <w:ind w:firstLine="480" w:firstLineChars="200"/>
        <w:jc w:val="left"/>
        <w:rPr>
          <w:rFonts w:ascii="宋体" w:hAnsi="宋体" w:eastAsia="宋体"/>
          <w:sz w:val="24"/>
          <w:szCs w:val="24"/>
        </w:rPr>
      </w:pPr>
      <w:r>
        <w:rPr>
          <w:rFonts w:hint="eastAsia" w:ascii="宋体" w:hAnsi="宋体" w:eastAsia="宋体"/>
          <w:sz w:val="24"/>
          <w:szCs w:val="24"/>
          <w:lang w:val="en-US" w:eastAsia="zh-CN"/>
        </w:rPr>
        <w:t>2022</w:t>
      </w:r>
      <w:r>
        <w:rPr>
          <w:rFonts w:hint="eastAsia" w:ascii="宋体" w:hAnsi="宋体" w:eastAsia="宋体"/>
          <w:sz w:val="24"/>
          <w:szCs w:val="24"/>
        </w:rPr>
        <w:t>年</w:t>
      </w:r>
      <w:r>
        <w:rPr>
          <w:rFonts w:hint="eastAsia" w:ascii="宋体" w:hAnsi="宋体" w:eastAsia="宋体"/>
          <w:sz w:val="24"/>
          <w:szCs w:val="24"/>
          <w:lang w:val="en-US" w:eastAsia="zh-CN"/>
        </w:rPr>
        <w:t>8</w:t>
      </w:r>
      <w:r>
        <w:rPr>
          <w:rFonts w:hint="eastAsia" w:ascii="宋体" w:hAnsi="宋体" w:eastAsia="宋体"/>
          <w:sz w:val="24"/>
          <w:szCs w:val="24"/>
        </w:rPr>
        <w:t>月，成立标准起草组，负责对相关技术指标和试验方法编制和技术确定。通过制定工作方案，标准起草组进一步明确了目标要求、工作思路、人员分工和工作进度等。</w:t>
      </w:r>
    </w:p>
    <w:p w14:paraId="605D1DD2">
      <w:pPr>
        <w:adjustRightInd w:val="0"/>
        <w:snapToGrid w:val="0"/>
        <w:spacing w:line="360" w:lineRule="auto"/>
        <w:ind w:firstLine="480" w:firstLineChars="200"/>
        <w:jc w:val="left"/>
        <w:rPr>
          <w:rFonts w:ascii="宋体" w:hAnsi="宋体" w:eastAsia="宋体"/>
          <w:sz w:val="24"/>
          <w:szCs w:val="24"/>
        </w:rPr>
      </w:pPr>
      <w:r>
        <w:rPr>
          <w:rFonts w:hint="eastAsia" w:ascii="宋体" w:hAnsi="宋体" w:eastAsia="宋体"/>
          <w:sz w:val="24"/>
          <w:szCs w:val="24"/>
          <w:lang w:val="en-US" w:eastAsia="zh-CN"/>
        </w:rPr>
        <w:t>2024</w:t>
      </w:r>
      <w:r>
        <w:rPr>
          <w:rFonts w:hint="eastAsia" w:ascii="宋体" w:hAnsi="宋体" w:eastAsia="宋体"/>
          <w:sz w:val="24"/>
          <w:szCs w:val="24"/>
        </w:rPr>
        <w:t>年</w:t>
      </w:r>
      <w:r>
        <w:rPr>
          <w:rFonts w:hint="eastAsia" w:ascii="宋体" w:hAnsi="宋体" w:eastAsia="宋体"/>
          <w:sz w:val="24"/>
          <w:szCs w:val="24"/>
          <w:lang w:val="en-US" w:eastAsia="zh-CN"/>
        </w:rPr>
        <w:t>12</w:t>
      </w:r>
      <w:r>
        <w:rPr>
          <w:rFonts w:hint="eastAsia" w:ascii="宋体" w:hAnsi="宋体" w:eastAsia="宋体"/>
          <w:sz w:val="24"/>
          <w:szCs w:val="24"/>
        </w:rPr>
        <w:t>月—</w:t>
      </w:r>
      <w:r>
        <w:rPr>
          <w:rFonts w:hint="eastAsia" w:ascii="宋体" w:hAnsi="宋体" w:eastAsia="宋体"/>
          <w:sz w:val="24"/>
          <w:szCs w:val="24"/>
          <w:lang w:val="en-US" w:eastAsia="zh-CN"/>
        </w:rPr>
        <w:t>2025</w:t>
      </w:r>
      <w:r>
        <w:rPr>
          <w:rFonts w:hint="eastAsia" w:ascii="宋体" w:hAnsi="宋体" w:eastAsia="宋体"/>
          <w:sz w:val="24"/>
          <w:szCs w:val="24"/>
        </w:rPr>
        <w:t>年</w:t>
      </w:r>
      <w:r>
        <w:rPr>
          <w:rFonts w:hint="eastAsia" w:ascii="宋体" w:hAnsi="宋体" w:eastAsia="宋体"/>
          <w:sz w:val="24"/>
          <w:szCs w:val="24"/>
          <w:lang w:val="en-US" w:eastAsia="zh-CN"/>
        </w:rPr>
        <w:t>12</w:t>
      </w:r>
      <w:r>
        <w:rPr>
          <w:rFonts w:hint="eastAsia" w:ascii="宋体" w:hAnsi="宋体" w:eastAsia="宋体"/>
          <w:sz w:val="24"/>
          <w:szCs w:val="24"/>
        </w:rPr>
        <w:t>月，完成标准征求意见稿；</w:t>
      </w:r>
    </w:p>
    <w:p w14:paraId="09BFA5ED">
      <w:pPr>
        <w:adjustRightInd w:val="0"/>
        <w:snapToGrid w:val="0"/>
        <w:spacing w:line="360" w:lineRule="auto"/>
        <w:ind w:firstLine="480" w:firstLineChars="200"/>
        <w:jc w:val="left"/>
        <w:rPr>
          <w:rFonts w:ascii="宋体" w:hAnsi="宋体" w:eastAsia="宋体"/>
          <w:sz w:val="24"/>
          <w:szCs w:val="24"/>
        </w:rPr>
      </w:pPr>
      <w:r>
        <w:rPr>
          <w:rFonts w:hint="eastAsia" w:ascii="宋体" w:hAnsi="宋体" w:eastAsia="宋体"/>
          <w:sz w:val="24"/>
          <w:szCs w:val="24"/>
        </w:rPr>
        <w:t>××××年×月—××××年×月，向社会公开征求意见，共收到……；</w:t>
      </w:r>
    </w:p>
    <w:p w14:paraId="6B997963">
      <w:pPr>
        <w:adjustRightInd w:val="0"/>
        <w:snapToGrid w:val="0"/>
        <w:spacing w:line="360" w:lineRule="auto"/>
        <w:ind w:firstLine="480" w:firstLineChars="200"/>
        <w:jc w:val="left"/>
        <w:rPr>
          <w:rFonts w:ascii="宋体" w:hAnsi="宋体" w:eastAsia="宋体"/>
          <w:sz w:val="24"/>
          <w:szCs w:val="24"/>
        </w:rPr>
      </w:pPr>
      <w:r>
        <w:rPr>
          <w:rFonts w:hint="eastAsia" w:ascii="宋体" w:hAnsi="宋体" w:eastAsia="宋体"/>
          <w:sz w:val="24"/>
          <w:szCs w:val="24"/>
        </w:rPr>
        <w:t>××××年×月—××××年×月，根据“标准征求意见汇总处理表”，……完成标准送审稿；</w:t>
      </w:r>
    </w:p>
    <w:p w14:paraId="49D5FE37">
      <w:pPr>
        <w:adjustRightInd w:val="0"/>
        <w:snapToGrid w:val="0"/>
        <w:spacing w:line="360" w:lineRule="auto"/>
        <w:ind w:firstLine="480" w:firstLineChars="200"/>
        <w:jc w:val="left"/>
        <w:rPr>
          <w:rFonts w:ascii="宋体" w:hAnsi="宋体" w:eastAsia="宋体"/>
          <w:sz w:val="24"/>
          <w:szCs w:val="24"/>
        </w:rPr>
      </w:pPr>
      <w:r>
        <w:rPr>
          <w:rFonts w:hint="eastAsia" w:ascii="宋体" w:hAnsi="宋体" w:eastAsia="宋体"/>
          <w:sz w:val="24"/>
          <w:szCs w:val="24"/>
        </w:rPr>
        <w:t>××××年×月×日，……委员会在……召开……会议上对该标准进行审查，……（审查结论）；</w:t>
      </w:r>
    </w:p>
    <w:p w14:paraId="1FF90C08">
      <w:pPr>
        <w:adjustRightInd w:val="0"/>
        <w:snapToGrid w:val="0"/>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××××年×月—××××年×月，根据审查会要求，……，最终完成报批稿。</w:t>
      </w:r>
    </w:p>
    <w:p w14:paraId="6E3800FC">
      <w:pPr>
        <w:adjustRightInd w:val="0"/>
        <w:snapToGrid w:val="0"/>
        <w:spacing w:line="360" w:lineRule="auto"/>
        <w:ind w:firstLine="482" w:firstLineChars="200"/>
        <w:jc w:val="left"/>
        <w:rPr>
          <w:rFonts w:ascii="宋体" w:hAnsi="宋体" w:eastAsia="宋体"/>
          <w:b/>
          <w:sz w:val="24"/>
          <w:szCs w:val="24"/>
        </w:rPr>
      </w:pPr>
      <w:r>
        <w:rPr>
          <w:rFonts w:hint="eastAsia" w:ascii="宋体" w:hAnsi="宋体" w:eastAsia="宋体"/>
          <w:b/>
          <w:sz w:val="24"/>
          <w:szCs w:val="24"/>
        </w:rPr>
        <w:t>1.4 标准主要起草人及其所做的工作等</w:t>
      </w:r>
    </w:p>
    <w:p w14:paraId="66605156">
      <w:pPr>
        <w:numPr>
          <w:ilvl w:val="0"/>
          <w:numId w:val="0"/>
        </w:numPr>
        <w:adjustRightInd w:val="0"/>
        <w:snapToGrid w:val="0"/>
        <w:spacing w:before="312" w:beforeLines="100" w:line="360" w:lineRule="auto"/>
        <w:ind w:firstLine="720" w:firstLineChars="300"/>
        <w:jc w:val="left"/>
        <w:rPr>
          <w:rFonts w:hint="eastAsia" w:ascii="宋体" w:hAnsi="宋体" w:eastAsia="宋体"/>
          <w:sz w:val="24"/>
          <w:szCs w:val="24"/>
        </w:rPr>
      </w:pPr>
      <w:r>
        <w:rPr>
          <w:rFonts w:hint="eastAsia" w:ascii="宋体" w:hAnsi="宋体" w:eastAsia="宋体"/>
          <w:sz w:val="24"/>
          <w:szCs w:val="24"/>
        </w:rPr>
        <w:t>标准起草组</w:t>
      </w:r>
      <w:r>
        <w:rPr>
          <w:rFonts w:hint="eastAsia" w:ascii="宋体" w:hAnsi="宋体" w:eastAsia="宋体"/>
          <w:sz w:val="24"/>
          <w:szCs w:val="24"/>
          <w:lang w:eastAsia="zh-CN"/>
        </w:rPr>
        <w:t>对</w:t>
      </w:r>
      <w:r>
        <w:rPr>
          <w:rFonts w:hint="eastAsia" w:ascii="宋体" w:hAnsi="宋体" w:eastAsia="宋体"/>
          <w:sz w:val="24"/>
          <w:szCs w:val="24"/>
        </w:rPr>
        <w:t>当前的粮仓辐射制冷材料应用技术的现状进行了调研，搜集了众多关于粮仓辐射制冷材料应用技术的相关标准、文献、成果案例等资料，着手标准制定。起草组结合前期的调研和资料，多次召开内部研讨会，形成标准大纲，并邀请了专家和相关企业对标准进行技术指导，对《粮仓辐射制冷材料应用技术规程》的标准编制工作重点、标准制定依据和编制原则等形成了共识，同时完成了标准草案稿的撰写.</w:t>
      </w:r>
    </w:p>
    <w:p w14:paraId="29B1DEEA">
      <w:pPr>
        <w:adjustRightInd w:val="0"/>
        <w:snapToGrid w:val="0"/>
        <w:spacing w:before="312" w:beforeLines="100" w:line="360" w:lineRule="auto"/>
        <w:ind w:firstLine="482" w:firstLineChars="200"/>
        <w:jc w:val="left"/>
        <w:rPr>
          <w:rFonts w:ascii="宋体" w:hAnsi="宋体" w:eastAsia="宋体"/>
          <w:sz w:val="24"/>
          <w:szCs w:val="24"/>
        </w:rPr>
      </w:pPr>
      <w:r>
        <w:rPr>
          <w:rFonts w:hint="eastAsia" w:ascii="宋体" w:hAnsi="宋体" w:eastAsia="宋体"/>
          <w:b/>
          <w:sz w:val="24"/>
          <w:szCs w:val="24"/>
        </w:rPr>
        <w:t>2．</w:t>
      </w:r>
      <w:r>
        <w:rPr>
          <w:rFonts w:ascii="宋体" w:hAnsi="宋体" w:eastAsia="宋体"/>
          <w:b/>
          <w:sz w:val="24"/>
          <w:szCs w:val="24"/>
        </w:rPr>
        <w:t>标准编制原则和确定标准主要内容</w:t>
      </w:r>
      <w:r>
        <w:rPr>
          <w:rFonts w:hint="eastAsia" w:ascii="宋体" w:hAnsi="宋体" w:eastAsia="宋体"/>
          <w:sz w:val="24"/>
          <w:szCs w:val="24"/>
        </w:rPr>
        <w:t>（如技术指标、参数、公式、性能要求、试验方法、检验规则等）</w:t>
      </w:r>
      <w:r>
        <w:rPr>
          <w:rFonts w:hint="eastAsia" w:ascii="宋体" w:hAnsi="宋体" w:eastAsia="宋体"/>
          <w:b/>
          <w:sz w:val="24"/>
          <w:szCs w:val="24"/>
        </w:rPr>
        <w:t>的论据</w:t>
      </w:r>
      <w:r>
        <w:rPr>
          <w:rFonts w:hint="eastAsia" w:ascii="宋体" w:hAnsi="宋体" w:eastAsia="宋体"/>
          <w:sz w:val="24"/>
          <w:szCs w:val="24"/>
        </w:rPr>
        <w:t>（包括试验、统计数据）。修订标准时，应列出与原标准的主要差异和水平对比</w:t>
      </w:r>
    </w:p>
    <w:p w14:paraId="2E9A5519">
      <w:pPr>
        <w:adjustRightInd w:val="0"/>
        <w:snapToGrid w:val="0"/>
        <w:spacing w:line="360" w:lineRule="auto"/>
        <w:ind w:firstLine="480" w:firstLineChars="200"/>
        <w:jc w:val="left"/>
        <w:rPr>
          <w:rFonts w:hint="eastAsia" w:ascii="宋体" w:hAnsi="宋体" w:eastAsia="宋体"/>
          <w:sz w:val="24"/>
          <w:szCs w:val="24"/>
          <w:lang w:eastAsia="zh-CN"/>
        </w:rPr>
      </w:pPr>
      <w:r>
        <w:rPr>
          <w:rFonts w:hint="eastAsia" w:ascii="宋体" w:hAnsi="宋体" w:eastAsia="宋体"/>
          <w:sz w:val="24"/>
          <w:szCs w:val="24"/>
          <w:lang w:eastAsia="zh-CN"/>
        </w:rPr>
        <w:t>本标准主要依据现有实际施工规范经验情况归纳总结得出。</w:t>
      </w:r>
    </w:p>
    <w:p w14:paraId="2CA56A22">
      <w:pPr>
        <w:adjustRightInd w:val="0"/>
        <w:snapToGrid w:val="0"/>
        <w:spacing w:line="360" w:lineRule="auto"/>
        <w:ind w:firstLine="480" w:firstLineChars="200"/>
        <w:jc w:val="left"/>
        <w:rPr>
          <w:rFonts w:hint="eastAsia" w:ascii="宋体" w:hAnsi="宋体" w:eastAsia="宋体"/>
          <w:sz w:val="24"/>
          <w:szCs w:val="24"/>
          <w:lang w:eastAsia="zh-CN"/>
        </w:rPr>
      </w:pPr>
    </w:p>
    <w:p w14:paraId="71335D0F">
      <w:pPr>
        <w:adjustRightInd w:val="0"/>
        <w:snapToGrid w:val="0"/>
        <w:spacing w:before="312" w:beforeLines="100" w:line="360" w:lineRule="auto"/>
        <w:ind w:firstLine="482" w:firstLineChars="200"/>
        <w:jc w:val="left"/>
        <w:rPr>
          <w:rFonts w:ascii="宋体" w:hAnsi="宋体" w:eastAsia="宋体"/>
          <w:b/>
          <w:sz w:val="24"/>
          <w:szCs w:val="24"/>
        </w:rPr>
      </w:pPr>
      <w:r>
        <w:rPr>
          <w:rFonts w:hint="eastAsia" w:ascii="宋体" w:hAnsi="宋体" w:eastAsia="宋体"/>
          <w:b/>
          <w:sz w:val="24"/>
          <w:szCs w:val="24"/>
        </w:rPr>
        <w:t>3．</w:t>
      </w:r>
      <w:r>
        <w:rPr>
          <w:rFonts w:ascii="宋体" w:hAnsi="宋体" w:eastAsia="宋体"/>
          <w:b/>
          <w:sz w:val="24"/>
          <w:szCs w:val="24"/>
        </w:rPr>
        <w:t>主要试验（或验证）情况的分析、综述报告，技术经济论证，预期的经济效果</w:t>
      </w:r>
    </w:p>
    <w:p w14:paraId="5B647D17">
      <w:pPr>
        <w:adjustRightInd w:val="0"/>
        <w:snapToGrid w:val="0"/>
        <w:spacing w:line="360" w:lineRule="auto"/>
        <w:ind w:firstLine="480" w:firstLineChars="200"/>
        <w:jc w:val="left"/>
        <w:rPr>
          <w:rFonts w:hint="eastAsia" w:ascii="宋体" w:hAnsi="宋体" w:eastAsia="宋体"/>
          <w:sz w:val="24"/>
          <w:szCs w:val="24"/>
          <w:lang w:eastAsia="zh-CN"/>
        </w:rPr>
      </w:pPr>
      <w:r>
        <w:rPr>
          <w:rFonts w:hint="eastAsia" w:ascii="宋体" w:hAnsi="宋体" w:eastAsia="宋体"/>
          <w:sz w:val="24"/>
          <w:szCs w:val="24"/>
          <w:lang w:eastAsia="zh-CN"/>
        </w:rPr>
        <w:t>本标准所诉的</w:t>
      </w:r>
      <w:r>
        <w:rPr>
          <w:rFonts w:hint="eastAsia" w:ascii="宋体" w:hAnsi="宋体" w:eastAsia="宋体"/>
          <w:sz w:val="24"/>
          <w:szCs w:val="24"/>
        </w:rPr>
        <w:t>粮仓辐射制冷材料应用技术规程</w:t>
      </w:r>
      <w:r>
        <w:rPr>
          <w:rFonts w:hint="eastAsia" w:ascii="宋体" w:hAnsi="宋体" w:eastAsia="宋体"/>
          <w:sz w:val="24"/>
          <w:szCs w:val="24"/>
          <w:lang w:eastAsia="zh-CN"/>
        </w:rPr>
        <w:t>是通过对</w:t>
      </w:r>
      <w:r>
        <w:rPr>
          <w:rFonts w:hint="eastAsia" w:ascii="宋体" w:hAnsi="宋体" w:eastAsia="宋体"/>
          <w:sz w:val="24"/>
          <w:szCs w:val="24"/>
          <w:lang w:val="en-US" w:eastAsia="zh-CN"/>
        </w:rPr>
        <w:t>10个省30个粮仓的施工所得出的一系列标准化操作规程，全部是实际经验中积累完善起来的。是实际工作中对材料、工期、施工质量最优化的结果，所定的材料、施工要求、规范、步骤皆已</w:t>
      </w:r>
      <w:r>
        <w:rPr>
          <w:rFonts w:hint="eastAsia" w:ascii="宋体" w:hAnsi="宋体" w:eastAsia="宋体"/>
          <w:sz w:val="24"/>
          <w:szCs w:val="24"/>
          <w:lang w:eastAsia="zh-CN"/>
        </w:rPr>
        <w:t>综合考虑经济成本和施工质量要求。</w:t>
      </w:r>
    </w:p>
    <w:p w14:paraId="64F1C534">
      <w:pPr>
        <w:adjustRightInd w:val="0"/>
        <w:snapToGrid w:val="0"/>
        <w:spacing w:before="312" w:beforeLines="100" w:line="360" w:lineRule="auto"/>
        <w:ind w:firstLine="482" w:firstLineChars="200"/>
        <w:jc w:val="left"/>
        <w:rPr>
          <w:rFonts w:ascii="宋体" w:hAnsi="宋体" w:eastAsia="宋体"/>
          <w:sz w:val="24"/>
          <w:szCs w:val="24"/>
        </w:rPr>
      </w:pPr>
      <w:r>
        <w:rPr>
          <w:rFonts w:hint="eastAsia" w:ascii="宋体" w:hAnsi="宋体" w:eastAsia="宋体"/>
          <w:b/>
          <w:sz w:val="24"/>
          <w:szCs w:val="24"/>
        </w:rPr>
        <w:t>4．与国际、国外、国行标对比情况</w:t>
      </w:r>
      <w:r>
        <w:rPr>
          <w:rFonts w:hint="eastAsia" w:ascii="宋体" w:hAnsi="宋体" w:eastAsia="宋体"/>
          <w:sz w:val="24"/>
          <w:szCs w:val="24"/>
        </w:rPr>
        <w:t>（采用国际标准和国外先进标准的程度，以及与国际、国外同类标准水平以及国行标水平的对比情况，或与测试的国外样品、样机的有关数据的对比情况等）</w:t>
      </w:r>
    </w:p>
    <w:p w14:paraId="206AF90B">
      <w:pPr>
        <w:adjustRightInd w:val="0"/>
        <w:snapToGrid w:val="0"/>
        <w:spacing w:line="360" w:lineRule="auto"/>
        <w:ind w:firstLine="480" w:firstLineChars="200"/>
        <w:jc w:val="left"/>
        <w:rPr>
          <w:rFonts w:ascii="宋体" w:hAnsi="宋体" w:eastAsia="宋体"/>
          <w:sz w:val="24"/>
          <w:szCs w:val="24"/>
        </w:rPr>
      </w:pPr>
      <w:r>
        <w:rPr>
          <w:rFonts w:hint="eastAsia" w:ascii="宋体" w:hAnsi="宋体" w:eastAsia="宋体"/>
          <w:sz w:val="24"/>
          <w:szCs w:val="24"/>
          <w:lang w:eastAsia="zh-CN"/>
        </w:rPr>
        <w:t>目前国内外无同类别产品技术应用规程，本标准内容主要以实际应用经验总结、归纳得出，暂无比对情况。</w:t>
      </w:r>
    </w:p>
    <w:p w14:paraId="5C4CD150">
      <w:pPr>
        <w:adjustRightInd w:val="0"/>
        <w:snapToGrid w:val="0"/>
        <w:spacing w:before="312" w:beforeLines="100" w:line="360" w:lineRule="auto"/>
        <w:ind w:firstLine="482" w:firstLineChars="200"/>
        <w:jc w:val="left"/>
        <w:rPr>
          <w:rFonts w:ascii="宋体" w:hAnsi="宋体" w:eastAsia="宋体"/>
          <w:sz w:val="24"/>
          <w:szCs w:val="24"/>
        </w:rPr>
      </w:pPr>
      <w:r>
        <w:rPr>
          <w:rFonts w:hint="eastAsia" w:ascii="宋体" w:hAnsi="宋体" w:eastAsia="宋体"/>
          <w:b/>
          <w:sz w:val="24"/>
          <w:szCs w:val="24"/>
        </w:rPr>
        <w:t>5．与有关的现行法律、法规和强制性国家标准的关系</w:t>
      </w:r>
      <w:r>
        <w:rPr>
          <w:rFonts w:hint="eastAsia" w:ascii="宋体" w:hAnsi="宋体" w:eastAsia="宋体"/>
          <w:sz w:val="24"/>
          <w:szCs w:val="24"/>
        </w:rPr>
        <w:t>（简要说明标准与法律、法规、标准的协调性）</w:t>
      </w:r>
    </w:p>
    <w:p w14:paraId="0C58316A">
      <w:pPr>
        <w:adjustRightInd w:val="0"/>
        <w:snapToGrid w:val="0"/>
        <w:spacing w:before="312" w:beforeLines="100" w:line="360" w:lineRule="auto"/>
        <w:ind w:firstLine="480" w:firstLineChars="200"/>
        <w:jc w:val="left"/>
        <w:rPr>
          <w:rFonts w:hint="eastAsia" w:ascii="宋体" w:hAnsi="宋体" w:eastAsia="宋体"/>
          <w:sz w:val="24"/>
          <w:szCs w:val="24"/>
          <w:lang w:eastAsia="zh-CN"/>
        </w:rPr>
      </w:pPr>
      <w:r>
        <w:rPr>
          <w:rFonts w:hint="eastAsia" w:ascii="宋体" w:hAnsi="宋体" w:eastAsia="宋体"/>
          <w:sz w:val="24"/>
          <w:szCs w:val="24"/>
          <w:lang w:eastAsia="zh-CN"/>
        </w:rPr>
        <w:t>目前无同类别产品施工规范。与现有的施工验收类的国标有部分相同之处，本标准的验收规范都需满足GB 5021</w:t>
      </w:r>
      <w:r>
        <w:rPr>
          <w:rFonts w:hint="eastAsia" w:ascii="宋体" w:hAnsi="宋体" w:eastAsia="宋体"/>
          <w:sz w:val="24"/>
          <w:szCs w:val="24"/>
          <w:lang w:val="en-US" w:eastAsia="zh-CN"/>
        </w:rPr>
        <w:t xml:space="preserve">0 </w:t>
      </w:r>
      <w:r>
        <w:rPr>
          <w:rFonts w:hint="eastAsia" w:ascii="宋体" w:hAnsi="宋体" w:eastAsia="宋体"/>
          <w:sz w:val="24"/>
          <w:szCs w:val="24"/>
          <w:lang w:eastAsia="zh-CN"/>
        </w:rPr>
        <w:t>建筑装饰装修工程质量验收规范和GB 50300</w:t>
      </w:r>
      <w:r>
        <w:rPr>
          <w:rFonts w:hint="eastAsia" w:ascii="宋体" w:hAnsi="宋体" w:eastAsia="宋体"/>
          <w:sz w:val="24"/>
          <w:szCs w:val="24"/>
          <w:lang w:val="en-US" w:eastAsia="zh-CN"/>
        </w:rPr>
        <w:t xml:space="preserve"> </w:t>
      </w:r>
      <w:r>
        <w:rPr>
          <w:rFonts w:hint="eastAsia" w:ascii="宋体" w:hAnsi="宋体" w:eastAsia="宋体"/>
          <w:sz w:val="24"/>
          <w:szCs w:val="24"/>
          <w:lang w:eastAsia="zh-CN"/>
        </w:rPr>
        <w:t>建筑工程施工质量验收统一标准。</w:t>
      </w:r>
    </w:p>
    <w:p w14:paraId="39822D16">
      <w:pPr>
        <w:adjustRightInd w:val="0"/>
        <w:snapToGrid w:val="0"/>
        <w:spacing w:before="312" w:beforeLines="100" w:line="360" w:lineRule="auto"/>
        <w:ind w:firstLine="480" w:firstLineChars="200"/>
        <w:jc w:val="left"/>
        <w:rPr>
          <w:rFonts w:hint="eastAsia" w:ascii="宋体" w:hAnsi="宋体" w:eastAsia="宋体"/>
          <w:sz w:val="24"/>
          <w:szCs w:val="24"/>
          <w:lang w:eastAsia="zh-CN"/>
        </w:rPr>
      </w:pPr>
    </w:p>
    <w:p w14:paraId="346C9BFC">
      <w:pPr>
        <w:adjustRightInd w:val="0"/>
        <w:snapToGrid w:val="0"/>
        <w:spacing w:before="312" w:beforeLines="100" w:line="360" w:lineRule="auto"/>
        <w:ind w:firstLine="482" w:firstLineChars="200"/>
        <w:jc w:val="left"/>
        <w:rPr>
          <w:rFonts w:ascii="宋体" w:hAnsi="宋体" w:eastAsia="宋体"/>
          <w:sz w:val="24"/>
          <w:szCs w:val="24"/>
        </w:rPr>
      </w:pPr>
      <w:r>
        <w:rPr>
          <w:rFonts w:hint="eastAsia" w:ascii="宋体" w:hAnsi="宋体" w:eastAsia="宋体"/>
          <w:b/>
          <w:sz w:val="24"/>
          <w:szCs w:val="24"/>
        </w:rPr>
        <w:t>6．重大分歧意见的处理经过和依据</w:t>
      </w:r>
      <w:r>
        <w:rPr>
          <w:rFonts w:hint="eastAsia" w:ascii="宋体" w:hAnsi="宋体" w:eastAsia="宋体"/>
          <w:sz w:val="24"/>
          <w:szCs w:val="24"/>
        </w:rPr>
        <w:t>（主要适用于矛盾、分歧较大的意见，处理结果与处理依据的说明；如没有，写“无”）</w:t>
      </w:r>
    </w:p>
    <w:p w14:paraId="6711289E">
      <w:pPr>
        <w:adjustRightInd w:val="0"/>
        <w:snapToGrid w:val="0"/>
        <w:spacing w:before="312" w:beforeLines="100"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本标准起草过程中无重大分歧。</w:t>
      </w:r>
    </w:p>
    <w:p w14:paraId="2272EA84">
      <w:pPr>
        <w:adjustRightInd w:val="0"/>
        <w:snapToGrid w:val="0"/>
        <w:spacing w:before="312" w:beforeLines="100" w:line="360" w:lineRule="auto"/>
        <w:ind w:firstLine="482" w:firstLineChars="200"/>
        <w:jc w:val="left"/>
        <w:rPr>
          <w:rFonts w:ascii="宋体" w:hAnsi="宋体" w:eastAsia="宋体"/>
          <w:sz w:val="24"/>
          <w:szCs w:val="24"/>
        </w:rPr>
      </w:pPr>
      <w:r>
        <w:rPr>
          <w:rFonts w:hint="eastAsia" w:ascii="宋体" w:hAnsi="宋体" w:eastAsia="宋体"/>
          <w:b/>
          <w:sz w:val="24"/>
          <w:szCs w:val="24"/>
        </w:rPr>
        <w:t>7．贯彻标准的要求和措施建议</w:t>
      </w:r>
      <w:r>
        <w:rPr>
          <w:rFonts w:hint="eastAsia" w:ascii="宋体" w:hAnsi="宋体" w:eastAsia="宋体"/>
          <w:sz w:val="24"/>
          <w:szCs w:val="24"/>
        </w:rPr>
        <w:t>（包括组织措施、技术措施、过渡办法等）</w:t>
      </w:r>
    </w:p>
    <w:p w14:paraId="47C1F1A4">
      <w:pPr>
        <w:adjustRightInd w:val="0"/>
        <w:snapToGrid w:val="0"/>
        <w:spacing w:before="312" w:beforeLines="100" w:line="360" w:lineRule="auto"/>
        <w:ind w:firstLine="480" w:firstLineChars="200"/>
        <w:jc w:val="left"/>
        <w:rPr>
          <w:rFonts w:hint="eastAsia" w:ascii="宋体" w:hAnsi="宋体" w:eastAsia="宋体"/>
          <w:sz w:val="24"/>
          <w:szCs w:val="24"/>
        </w:rPr>
      </w:pPr>
      <w:r>
        <w:rPr>
          <w:rFonts w:hint="eastAsia" w:ascii="宋体" w:hAnsi="宋体" w:eastAsia="宋体"/>
          <w:sz w:val="24"/>
          <w:szCs w:val="24"/>
          <w:lang w:eastAsia="zh-CN"/>
        </w:rPr>
        <w:t>标</w:t>
      </w:r>
      <w:r>
        <w:rPr>
          <w:rFonts w:hint="eastAsia" w:ascii="宋体" w:hAnsi="宋体" w:eastAsia="宋体"/>
          <w:sz w:val="24"/>
          <w:szCs w:val="24"/>
        </w:rPr>
        <w:t>准只有通过实施才能起作用，如果不能实施，再好的标准也是“一纸空文”，更无法提现它的作用。贯彻实施标准要做好宣传教育工作、有良好的实施方法和检查监督机制。具体来说：（1）加大宣贯力度。利用报纸、电视、电台及微信、微博等各种新媒体，大力宣传，为标准的实施营造良好的社会氛围。（2）加强标准实施反馈。对在标准实施过程中发现的问题及提出的意见，要进行深入探讨和研究，做好标准的修订和完善工作。</w:t>
      </w:r>
    </w:p>
    <w:p w14:paraId="7C8E0DCC">
      <w:pPr>
        <w:adjustRightInd w:val="0"/>
        <w:snapToGrid w:val="0"/>
        <w:spacing w:before="312" w:beforeLines="100" w:line="360" w:lineRule="auto"/>
        <w:ind w:firstLine="482" w:firstLineChars="200"/>
        <w:jc w:val="left"/>
        <w:rPr>
          <w:rFonts w:ascii="宋体" w:hAnsi="宋体" w:eastAsia="宋体"/>
          <w:sz w:val="24"/>
          <w:szCs w:val="24"/>
        </w:rPr>
      </w:pPr>
      <w:r>
        <w:rPr>
          <w:rFonts w:hint="eastAsia" w:ascii="宋体" w:hAnsi="宋体" w:eastAsia="宋体"/>
          <w:b/>
          <w:sz w:val="24"/>
          <w:szCs w:val="24"/>
        </w:rPr>
        <w:t>9．废止现行有关标准的建议</w:t>
      </w:r>
      <w:r>
        <w:rPr>
          <w:rFonts w:hint="eastAsia" w:ascii="宋体" w:hAnsi="宋体" w:eastAsia="宋体"/>
          <w:sz w:val="24"/>
          <w:szCs w:val="24"/>
        </w:rPr>
        <w:t>（修订时，应说明新旧标准的替代关系；如制定，写“无”）</w:t>
      </w:r>
    </w:p>
    <w:p w14:paraId="6AE8F84A">
      <w:pPr>
        <w:adjustRightInd w:val="0"/>
        <w:snapToGrid w:val="0"/>
        <w:spacing w:line="360" w:lineRule="auto"/>
        <w:ind w:firstLine="480" w:firstLineChars="200"/>
        <w:jc w:val="left"/>
        <w:rPr>
          <w:rFonts w:ascii="宋体" w:hAnsi="宋体" w:eastAsia="宋体"/>
          <w:b/>
          <w:sz w:val="24"/>
          <w:szCs w:val="24"/>
        </w:rPr>
      </w:pPr>
      <w:r>
        <w:rPr>
          <w:rFonts w:hint="eastAsia" w:ascii="宋体" w:hAnsi="宋体" w:eastAsia="宋体"/>
          <w:sz w:val="24"/>
          <w:szCs w:val="24"/>
          <w:lang w:eastAsia="zh-CN"/>
        </w:rPr>
        <w:t>无</w:t>
      </w:r>
      <w:r>
        <w:rPr>
          <w:rFonts w:hint="eastAsia" w:ascii="宋体" w:hAnsi="宋体" w:eastAsia="宋体"/>
          <w:sz w:val="24"/>
          <w:szCs w:val="24"/>
        </w:rPr>
        <w:t>。</w:t>
      </w:r>
    </w:p>
    <w:p w14:paraId="2BD951DC">
      <w:pPr>
        <w:adjustRightInd w:val="0"/>
        <w:snapToGrid w:val="0"/>
        <w:spacing w:before="312" w:beforeLines="100" w:line="360" w:lineRule="auto"/>
        <w:ind w:firstLine="482" w:firstLineChars="200"/>
        <w:jc w:val="left"/>
        <w:rPr>
          <w:rFonts w:ascii="宋体" w:hAnsi="宋体" w:eastAsia="宋体"/>
          <w:sz w:val="24"/>
          <w:szCs w:val="24"/>
        </w:rPr>
      </w:pPr>
      <w:r>
        <w:rPr>
          <w:rFonts w:hint="eastAsia" w:ascii="宋体" w:hAnsi="宋体" w:eastAsia="宋体"/>
          <w:b/>
          <w:sz w:val="24"/>
          <w:szCs w:val="24"/>
        </w:rPr>
        <w:t>10．其他应予说明的事项</w:t>
      </w:r>
      <w:r>
        <w:rPr>
          <w:rFonts w:hint="eastAsia" w:ascii="宋体" w:hAnsi="宋体" w:eastAsia="宋体"/>
          <w:sz w:val="24"/>
          <w:szCs w:val="24"/>
        </w:rPr>
        <w:t>（陈述是否涉及专利及有关说明、本标准编制阶段与原计划有差异情况说明及原因等）</w:t>
      </w:r>
    </w:p>
    <w:p w14:paraId="197A9FFF">
      <w:pPr>
        <w:adjustRightInd w:val="0"/>
        <w:snapToGrid w:val="0"/>
        <w:spacing w:line="360" w:lineRule="auto"/>
        <w:ind w:firstLine="480" w:firstLineChars="200"/>
        <w:jc w:val="left"/>
        <w:rPr>
          <w:rFonts w:ascii="宋体" w:hAnsi="宋体" w:eastAsia="宋体"/>
          <w:sz w:val="24"/>
          <w:szCs w:val="24"/>
        </w:rPr>
      </w:pPr>
      <w:r>
        <w:rPr>
          <w:rFonts w:hint="eastAsia" w:ascii="宋体" w:hAnsi="宋体" w:eastAsia="宋体"/>
          <w:sz w:val="24"/>
          <w:szCs w:val="24"/>
          <w:lang w:eastAsia="zh-CN"/>
        </w:rPr>
        <w:t>本标准编制阶段较原计划长，主要在于本标准没有相应的旧标准，需要积累更多的实际</w:t>
      </w:r>
      <w:r>
        <w:rPr>
          <w:rFonts w:hint="eastAsia" w:ascii="宋体" w:hAnsi="宋体" w:eastAsia="宋体"/>
          <w:sz w:val="24"/>
          <w:szCs w:val="24"/>
          <w:lang w:val="en-US" w:eastAsia="zh-CN"/>
        </w:rPr>
        <w:t>案例，并通过施工案例中的各项技术指标完善来制定本标准，以便更符合最新的实际现场施工情况</w:t>
      </w:r>
      <w:r>
        <w:rPr>
          <w:rFonts w:hint="eastAsia" w:ascii="宋体" w:hAnsi="宋体" w:eastAsia="宋体"/>
          <w:sz w:val="24"/>
          <w:szCs w:val="24"/>
        </w:rPr>
        <w:t>。</w:t>
      </w:r>
    </w:p>
    <w:p w14:paraId="3340E432">
      <w:pPr>
        <w:numPr>
          <w:ilvl w:val="0"/>
          <w:numId w:val="2"/>
        </w:numPr>
        <w:adjustRightInd w:val="0"/>
        <w:snapToGrid w:val="0"/>
        <w:spacing w:before="312" w:beforeLines="100" w:line="360" w:lineRule="auto"/>
        <w:ind w:firstLine="482" w:firstLineChars="200"/>
        <w:jc w:val="left"/>
        <w:rPr>
          <w:rFonts w:hint="eastAsia" w:ascii="宋体" w:hAnsi="宋体" w:eastAsia="宋体"/>
          <w:sz w:val="24"/>
          <w:szCs w:val="24"/>
        </w:rPr>
      </w:pPr>
      <w:r>
        <w:rPr>
          <w:rFonts w:hint="eastAsia" w:ascii="宋体" w:hAnsi="宋体" w:eastAsia="宋体"/>
          <w:b/>
          <w:sz w:val="24"/>
          <w:szCs w:val="24"/>
        </w:rPr>
        <w:t>附录</w:t>
      </w:r>
      <w:r>
        <w:rPr>
          <w:rFonts w:hint="eastAsia" w:ascii="宋体" w:hAnsi="宋体" w:eastAsia="宋体"/>
          <w:sz w:val="24"/>
          <w:szCs w:val="24"/>
        </w:rPr>
        <w:t>（如没有，写“无”）</w:t>
      </w:r>
    </w:p>
    <w:p w14:paraId="3EF912CE">
      <w:pPr>
        <w:numPr>
          <w:ilvl w:val="0"/>
          <w:numId w:val="0"/>
        </w:numPr>
        <w:adjustRightInd w:val="0"/>
        <w:snapToGrid w:val="0"/>
        <w:spacing w:before="312" w:beforeLines="100" w:line="360" w:lineRule="auto"/>
        <w:ind w:firstLine="720" w:firstLineChars="300"/>
        <w:jc w:val="left"/>
        <w:rPr>
          <w:rFonts w:hint="eastAsia" w:ascii="宋体" w:hAnsi="宋体" w:eastAsia="宋体"/>
          <w:sz w:val="24"/>
          <w:szCs w:val="24"/>
          <w:lang w:eastAsia="zh-CN"/>
        </w:rPr>
      </w:pPr>
      <w:r>
        <w:rPr>
          <w:rFonts w:hint="eastAsia" w:ascii="宋体" w:hAnsi="宋体" w:eastAsia="宋体"/>
          <w:sz w:val="24"/>
          <w:szCs w:val="24"/>
          <w:lang w:eastAsia="zh-CN"/>
        </w:rPr>
        <w:t>无。</w:t>
      </w:r>
    </w:p>
    <w:p w14:paraId="66E54C1C">
      <w:pPr>
        <w:adjustRightInd w:val="0"/>
        <w:snapToGrid w:val="0"/>
        <w:spacing w:line="360" w:lineRule="auto"/>
        <w:ind w:firstLine="480" w:firstLineChars="200"/>
        <w:jc w:val="left"/>
        <w:rPr>
          <w:rFonts w:ascii="宋体" w:hAnsi="宋体" w:eastAsia="宋体"/>
          <w:sz w:val="24"/>
          <w:szCs w:val="24"/>
        </w:rPr>
      </w:pPr>
    </w:p>
    <w:p w14:paraId="29793150">
      <w:pPr>
        <w:adjustRightInd w:val="0"/>
        <w:snapToGrid w:val="0"/>
        <w:spacing w:line="360" w:lineRule="auto"/>
        <w:jc w:val="left"/>
        <w:rPr>
          <w:rFonts w:ascii="宋体" w:hAnsi="宋体" w:eastAsia="宋体"/>
          <w:sz w:val="24"/>
          <w:szCs w:val="24"/>
        </w:rPr>
      </w:pPr>
    </w:p>
    <w:p w14:paraId="2BABEC3C">
      <w:pPr>
        <w:adjustRightInd w:val="0"/>
        <w:snapToGrid w:val="0"/>
        <w:spacing w:line="360" w:lineRule="auto"/>
        <w:jc w:val="left"/>
        <w:rPr>
          <w:rFonts w:ascii="宋体" w:hAnsi="宋体" w:eastAsia="宋体"/>
          <w:sz w:val="24"/>
          <w:szCs w:val="24"/>
        </w:rPr>
      </w:pPr>
    </w:p>
    <w:p w14:paraId="086E96FD">
      <w:pPr>
        <w:adjustRightInd w:val="0"/>
        <w:snapToGrid w:val="0"/>
        <w:spacing w:line="360" w:lineRule="auto"/>
        <w:jc w:val="left"/>
        <w:rPr>
          <w:rFonts w:ascii="宋体" w:hAnsi="宋体" w:eastAsia="宋体"/>
          <w:sz w:val="24"/>
          <w:szCs w:val="24"/>
        </w:rPr>
      </w:pPr>
    </w:p>
    <w:p w14:paraId="487016D4">
      <w:pPr>
        <w:adjustRightInd w:val="0"/>
        <w:snapToGrid w:val="0"/>
        <w:spacing w:line="360" w:lineRule="auto"/>
        <w:ind w:firstLine="1960" w:firstLineChars="700"/>
        <w:jc w:val="left"/>
        <w:rPr>
          <w:rFonts w:ascii="宋体" w:hAnsi="宋体" w:eastAsia="宋体"/>
          <w:sz w:val="28"/>
          <w:szCs w:val="28"/>
        </w:rPr>
      </w:pPr>
      <w:r>
        <w:rPr>
          <w:rFonts w:hint="eastAsia" w:ascii="宋体" w:hAnsi="宋体" w:eastAsia="宋体"/>
          <w:sz w:val="28"/>
          <w:szCs w:val="28"/>
        </w:rPr>
        <w:t>《</w:t>
      </w:r>
      <w:r>
        <w:rPr>
          <w:rFonts w:hint="eastAsia" w:ascii="宋体" w:hAnsi="宋体" w:eastAsia="宋体" w:cs="宋体"/>
          <w:b w:val="0"/>
          <w:bCs/>
          <w:sz w:val="28"/>
          <w:szCs w:val="28"/>
        </w:rPr>
        <w:t>粮仓辐射制冷材料应用技术规程</w:t>
      </w:r>
      <w:r>
        <w:rPr>
          <w:rFonts w:hint="eastAsia" w:ascii="宋体" w:hAnsi="宋体" w:eastAsia="宋体"/>
          <w:sz w:val="28"/>
          <w:szCs w:val="28"/>
        </w:rPr>
        <w:t>》团体标准起草组</w:t>
      </w:r>
    </w:p>
    <w:p w14:paraId="60F128CB">
      <w:pPr>
        <w:adjustRightInd w:val="0"/>
        <w:snapToGrid w:val="0"/>
        <w:spacing w:line="360" w:lineRule="auto"/>
        <w:ind w:firstLine="5040" w:firstLineChars="1800"/>
        <w:jc w:val="left"/>
        <w:rPr>
          <w:rFonts w:ascii="宋体" w:hAnsi="宋体" w:eastAsia="宋体"/>
          <w:sz w:val="24"/>
          <w:szCs w:val="24"/>
        </w:rPr>
      </w:pPr>
      <w:r>
        <w:rPr>
          <w:rFonts w:hint="eastAsia" w:ascii="Times New Roman" w:hAnsi="Times New Roman" w:eastAsia="宋体" w:cs="Times New Roman"/>
          <w:sz w:val="28"/>
          <w:szCs w:val="28"/>
          <w:lang w:val="en-US" w:eastAsia="zh-CN"/>
        </w:rPr>
        <w:t>202</w:t>
      </w:r>
      <w:bookmarkStart w:id="8" w:name="_GoBack"/>
      <w:bookmarkEnd w:id="8"/>
      <w:r>
        <w:rPr>
          <w:rFonts w:hint="eastAsia" w:ascii="Times New Roman" w:hAnsi="Times New Roman" w:eastAsia="宋体" w:cs="Times New Roman"/>
          <w:sz w:val="28"/>
          <w:szCs w:val="28"/>
          <w:lang w:val="en-US" w:eastAsia="zh-CN"/>
        </w:rPr>
        <w:t>6</w:t>
      </w:r>
      <w:r>
        <w:rPr>
          <w:rFonts w:ascii="Times New Roman" w:hAnsi="宋体" w:eastAsia="宋体" w:cs="Times New Roman"/>
          <w:sz w:val="28"/>
          <w:szCs w:val="28"/>
        </w:rPr>
        <w:t>年</w:t>
      </w:r>
      <w:r>
        <w:rPr>
          <w:rFonts w:hint="eastAsia" w:ascii="Times New Roman" w:hAnsi="Times New Roman" w:eastAsia="宋体" w:cs="Times New Roman"/>
          <w:sz w:val="28"/>
          <w:szCs w:val="28"/>
          <w:lang w:val="en-US" w:eastAsia="zh-CN"/>
        </w:rPr>
        <w:t>3</w:t>
      </w:r>
      <w:r>
        <w:rPr>
          <w:rFonts w:ascii="Times New Roman" w:hAnsi="宋体" w:eastAsia="宋体" w:cs="Times New Roman"/>
          <w:sz w:val="28"/>
          <w:szCs w:val="28"/>
        </w:rPr>
        <w:t>月</w:t>
      </w:r>
      <w:r>
        <w:rPr>
          <w:rFonts w:hint="eastAsia" w:ascii="Times New Roman" w:hAnsi="Times New Roman" w:eastAsia="宋体" w:cs="Times New Roman"/>
          <w:sz w:val="28"/>
          <w:szCs w:val="28"/>
          <w:lang w:val="en-US" w:eastAsia="zh-CN"/>
        </w:rPr>
        <w:t>25</w:t>
      </w:r>
      <w:r>
        <w:rPr>
          <w:rFonts w:ascii="Times New Roman" w:hAnsi="宋体" w:eastAsia="宋体" w:cs="Times New Roman"/>
          <w:sz w:val="28"/>
          <w:szCs w:val="28"/>
        </w:rPr>
        <w:t>日</w:t>
      </w:r>
    </w:p>
    <w:sectPr>
      <w:headerReference r:id="rId3" w:type="default"/>
      <w:footerReference r:id="rId5" w:type="default"/>
      <w:headerReference r:id="rId4"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9156685"/>
    </w:sdtPr>
    <w:sdtContent>
      <w:p w14:paraId="3DF2BC3E">
        <w:pPr>
          <w:pStyle w:val="3"/>
          <w:jc w:val="center"/>
        </w:pPr>
        <w:r>
          <w:fldChar w:fldCharType="begin"/>
        </w:r>
        <w:r>
          <w:instrText xml:space="preserve">PAGE   \* MERGEFORMAT</w:instrText>
        </w:r>
        <w:r>
          <w:fldChar w:fldCharType="separate"/>
        </w:r>
        <w:r>
          <w:rPr>
            <w:lang w:val="zh-CN"/>
          </w:rPr>
          <w:t>3</w:t>
        </w:r>
        <w:r>
          <w:fldChar w:fldCharType="end"/>
        </w:r>
      </w:p>
    </w:sdtContent>
  </w:sdt>
  <w:p w14:paraId="2CAACF0E">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5CCDC">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E430A">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27AC5A"/>
    <w:multiLevelType w:val="singleLevel"/>
    <w:tmpl w:val="2227AC5A"/>
    <w:lvl w:ilvl="0" w:tentative="0">
      <w:start w:val="11"/>
      <w:numFmt w:val="decimal"/>
      <w:suff w:val="nothing"/>
      <w:lvlText w:val="%1．"/>
      <w:lvlJc w:val="left"/>
    </w:lvl>
  </w:abstractNum>
  <w:abstractNum w:abstractNumId="1">
    <w:nsid w:val="32D3DEDA"/>
    <w:multiLevelType w:val="singleLevel"/>
    <w:tmpl w:val="32D3DEDA"/>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5MDVlODliNGQ5ZTA3NDNjYzIxZjljZmY1MjZhMWYifQ=="/>
  </w:docVars>
  <w:rsids>
    <w:rsidRoot w:val="00A52461"/>
    <w:rsid w:val="00002185"/>
    <w:rsid w:val="00002F5F"/>
    <w:rsid w:val="00014CA7"/>
    <w:rsid w:val="000153DA"/>
    <w:rsid w:val="00030888"/>
    <w:rsid w:val="000365F5"/>
    <w:rsid w:val="000374C9"/>
    <w:rsid w:val="000565FF"/>
    <w:rsid w:val="000567EE"/>
    <w:rsid w:val="00062B5B"/>
    <w:rsid w:val="000A1A4A"/>
    <w:rsid w:val="000B1056"/>
    <w:rsid w:val="00105FE7"/>
    <w:rsid w:val="001124DF"/>
    <w:rsid w:val="001264F5"/>
    <w:rsid w:val="001437BF"/>
    <w:rsid w:val="0014440F"/>
    <w:rsid w:val="001568FF"/>
    <w:rsid w:val="00157D12"/>
    <w:rsid w:val="001A122F"/>
    <w:rsid w:val="001B04E7"/>
    <w:rsid w:val="001D32DC"/>
    <w:rsid w:val="00236E20"/>
    <w:rsid w:val="00242B01"/>
    <w:rsid w:val="00261FD8"/>
    <w:rsid w:val="0027275A"/>
    <w:rsid w:val="002851A6"/>
    <w:rsid w:val="00285CFC"/>
    <w:rsid w:val="002A20F6"/>
    <w:rsid w:val="002A2B42"/>
    <w:rsid w:val="002D557E"/>
    <w:rsid w:val="002D5A90"/>
    <w:rsid w:val="002E1BFB"/>
    <w:rsid w:val="002E2B0B"/>
    <w:rsid w:val="0032642C"/>
    <w:rsid w:val="00347803"/>
    <w:rsid w:val="00384574"/>
    <w:rsid w:val="00386ED3"/>
    <w:rsid w:val="00392CA1"/>
    <w:rsid w:val="003C216F"/>
    <w:rsid w:val="003E3FDD"/>
    <w:rsid w:val="003E46B4"/>
    <w:rsid w:val="003F5B06"/>
    <w:rsid w:val="0045408F"/>
    <w:rsid w:val="004557D4"/>
    <w:rsid w:val="0046021E"/>
    <w:rsid w:val="00475950"/>
    <w:rsid w:val="00487E8D"/>
    <w:rsid w:val="004C2A91"/>
    <w:rsid w:val="004C5C2A"/>
    <w:rsid w:val="004C61A3"/>
    <w:rsid w:val="004D0E12"/>
    <w:rsid w:val="00506696"/>
    <w:rsid w:val="00515FCE"/>
    <w:rsid w:val="00533A11"/>
    <w:rsid w:val="00562389"/>
    <w:rsid w:val="00572CE2"/>
    <w:rsid w:val="005A7E9F"/>
    <w:rsid w:val="005D0690"/>
    <w:rsid w:val="005D0F0E"/>
    <w:rsid w:val="005D3CFC"/>
    <w:rsid w:val="005D4440"/>
    <w:rsid w:val="005E4D26"/>
    <w:rsid w:val="00611B29"/>
    <w:rsid w:val="00615671"/>
    <w:rsid w:val="00620F91"/>
    <w:rsid w:val="00622718"/>
    <w:rsid w:val="006363A5"/>
    <w:rsid w:val="0063683C"/>
    <w:rsid w:val="006459C2"/>
    <w:rsid w:val="00663F7A"/>
    <w:rsid w:val="00667F21"/>
    <w:rsid w:val="0067588B"/>
    <w:rsid w:val="006940BE"/>
    <w:rsid w:val="00695A25"/>
    <w:rsid w:val="006A3B65"/>
    <w:rsid w:val="006D5C84"/>
    <w:rsid w:val="006D7477"/>
    <w:rsid w:val="00747EEA"/>
    <w:rsid w:val="00773D62"/>
    <w:rsid w:val="007A3AB3"/>
    <w:rsid w:val="007B437A"/>
    <w:rsid w:val="007B74A7"/>
    <w:rsid w:val="007C2F74"/>
    <w:rsid w:val="007E6507"/>
    <w:rsid w:val="007F0414"/>
    <w:rsid w:val="00810D4D"/>
    <w:rsid w:val="008275A0"/>
    <w:rsid w:val="00865660"/>
    <w:rsid w:val="008770A2"/>
    <w:rsid w:val="008853DA"/>
    <w:rsid w:val="00893CBD"/>
    <w:rsid w:val="008A0F7A"/>
    <w:rsid w:val="008A7187"/>
    <w:rsid w:val="008B1561"/>
    <w:rsid w:val="008C1A9D"/>
    <w:rsid w:val="008C1B50"/>
    <w:rsid w:val="008C3C6B"/>
    <w:rsid w:val="008C60A5"/>
    <w:rsid w:val="008D0361"/>
    <w:rsid w:val="008E0509"/>
    <w:rsid w:val="00923E38"/>
    <w:rsid w:val="00951660"/>
    <w:rsid w:val="00962E36"/>
    <w:rsid w:val="00970B9C"/>
    <w:rsid w:val="009827E5"/>
    <w:rsid w:val="009978B7"/>
    <w:rsid w:val="009A35C4"/>
    <w:rsid w:val="009A76BE"/>
    <w:rsid w:val="009C693C"/>
    <w:rsid w:val="009E42A2"/>
    <w:rsid w:val="009E64E3"/>
    <w:rsid w:val="009F6060"/>
    <w:rsid w:val="009F610C"/>
    <w:rsid w:val="00A33FD0"/>
    <w:rsid w:val="00A35F25"/>
    <w:rsid w:val="00A52461"/>
    <w:rsid w:val="00A6032E"/>
    <w:rsid w:val="00A65A3D"/>
    <w:rsid w:val="00A676F1"/>
    <w:rsid w:val="00A767BF"/>
    <w:rsid w:val="00AA133A"/>
    <w:rsid w:val="00AB2946"/>
    <w:rsid w:val="00B00801"/>
    <w:rsid w:val="00B04F2E"/>
    <w:rsid w:val="00B465FA"/>
    <w:rsid w:val="00B5268B"/>
    <w:rsid w:val="00BC6636"/>
    <w:rsid w:val="00BE5906"/>
    <w:rsid w:val="00BF59E5"/>
    <w:rsid w:val="00BF65F2"/>
    <w:rsid w:val="00BF6742"/>
    <w:rsid w:val="00C164DA"/>
    <w:rsid w:val="00C235A4"/>
    <w:rsid w:val="00C66D0D"/>
    <w:rsid w:val="00C7125C"/>
    <w:rsid w:val="00C8713C"/>
    <w:rsid w:val="00CB415E"/>
    <w:rsid w:val="00CB7F07"/>
    <w:rsid w:val="00CC537B"/>
    <w:rsid w:val="00CF0FD6"/>
    <w:rsid w:val="00D06E5E"/>
    <w:rsid w:val="00D10014"/>
    <w:rsid w:val="00D832B0"/>
    <w:rsid w:val="00D91923"/>
    <w:rsid w:val="00D95E6B"/>
    <w:rsid w:val="00DA4901"/>
    <w:rsid w:val="00DB48D3"/>
    <w:rsid w:val="00DE0F81"/>
    <w:rsid w:val="00DE3071"/>
    <w:rsid w:val="00DF70BC"/>
    <w:rsid w:val="00E00D3D"/>
    <w:rsid w:val="00E1780C"/>
    <w:rsid w:val="00E42044"/>
    <w:rsid w:val="00E45B8B"/>
    <w:rsid w:val="00E569B4"/>
    <w:rsid w:val="00E56BB2"/>
    <w:rsid w:val="00E57C0B"/>
    <w:rsid w:val="00E8761D"/>
    <w:rsid w:val="00EA06F5"/>
    <w:rsid w:val="00EA1A2F"/>
    <w:rsid w:val="00EA2F0A"/>
    <w:rsid w:val="00EB2563"/>
    <w:rsid w:val="00EC544B"/>
    <w:rsid w:val="00EC69AF"/>
    <w:rsid w:val="00ED4AF7"/>
    <w:rsid w:val="00EE0A53"/>
    <w:rsid w:val="00EF1E5A"/>
    <w:rsid w:val="00F14B50"/>
    <w:rsid w:val="00F512AB"/>
    <w:rsid w:val="00F913E0"/>
    <w:rsid w:val="00F94D6C"/>
    <w:rsid w:val="00F97C1C"/>
    <w:rsid w:val="00FF077D"/>
    <w:rsid w:val="00FF4788"/>
    <w:rsid w:val="073D5408"/>
    <w:rsid w:val="123F30CE"/>
    <w:rsid w:val="14EF5D19"/>
    <w:rsid w:val="182156B0"/>
    <w:rsid w:val="1C454170"/>
    <w:rsid w:val="1D7472F5"/>
    <w:rsid w:val="21CD5401"/>
    <w:rsid w:val="252C160A"/>
    <w:rsid w:val="3B7D557D"/>
    <w:rsid w:val="43455074"/>
    <w:rsid w:val="4588524B"/>
    <w:rsid w:val="46957FE5"/>
    <w:rsid w:val="48735D3E"/>
    <w:rsid w:val="4DE60D60"/>
    <w:rsid w:val="57233025"/>
    <w:rsid w:val="58C81314"/>
    <w:rsid w:val="60343BAD"/>
    <w:rsid w:val="639F1C85"/>
    <w:rsid w:val="67B426C9"/>
    <w:rsid w:val="712E4649"/>
    <w:rsid w:val="73DC50DD"/>
    <w:rsid w:val="7F0D2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semiHidden/>
    <w:qFormat/>
    <w:uiPriority w:val="99"/>
    <w:rPr>
      <w:sz w:val="18"/>
      <w:szCs w:val="18"/>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F0939-1A10-4612-BAB7-B2F9F3E13081}">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5</Pages>
  <Words>2501</Words>
  <Characters>2552</Characters>
  <Lines>11</Lines>
  <Paragraphs>3</Paragraphs>
  <TotalTime>20</TotalTime>
  <ScaleCrop>false</ScaleCrop>
  <LinksUpToDate>false</LinksUpToDate>
  <CharactersWithSpaces>2563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2019-08-23T14:54:00Z</dcterms:created>
  <dc:creator>ThinkPad</dc:creator>
  <cp:lastModifiedBy>娜娜</cp:lastModifiedBy>
  <cp:lastPrinted>2022-08-24T07:03:00Z</cp:lastPrinted>
  <dcterms:modified xsi:type="dcterms:W3CDTF">2026-04-09T01:19:17Z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E1CF52F3E62241DCB53D97BA90D3A178_13</vt:lpwstr>
  </property>
  <property fmtid="{D5CDD505-2E9C-101B-9397-08002B2CF9AE}" pid="4" name="KSOTemplateDocerSaveRecord">
    <vt:lpwstr>eyJoZGlkIjoiYjU0YTljYTZkNWYzYzI5NzhhMmZkZWNiY2JjYmUyZWUiLCJ1c2VySWQiOiI3MTY4MDUzNzIifQ==</vt:lpwstr>
  </property>
</Properties>
</file>